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2B" w:rsidRPr="00217328" w:rsidRDefault="00AC6F2B" w:rsidP="00AC6F2B">
      <w:pPr>
        <w:spacing w:line="360" w:lineRule="auto"/>
        <w:jc w:val="center"/>
        <w:rPr>
          <w:rFonts w:ascii="Garamond" w:hAnsi="Garamond"/>
          <w:b/>
          <w:sz w:val="28"/>
          <w:szCs w:val="28"/>
        </w:rPr>
      </w:pPr>
      <w:r w:rsidRPr="00217328">
        <w:rPr>
          <w:rFonts w:ascii="Garamond" w:hAnsi="Garamond"/>
          <w:b/>
          <w:sz w:val="28"/>
          <w:szCs w:val="28"/>
        </w:rPr>
        <w:t xml:space="preserve">FOREIGN DIRECT INVESTMENT INFLOWS IN SUB-SAHARAN </w:t>
      </w:r>
      <w:smartTag w:uri="urn:schemas-microsoft-com:office:smarttags" w:element="place">
        <w:r w:rsidRPr="00217328">
          <w:rPr>
            <w:rFonts w:ascii="Garamond" w:hAnsi="Garamond"/>
            <w:b/>
            <w:sz w:val="28"/>
            <w:szCs w:val="28"/>
          </w:rPr>
          <w:t>AFRICA</w:t>
        </w:r>
      </w:smartTag>
      <w:r w:rsidRPr="00217328">
        <w:rPr>
          <w:rFonts w:ascii="Garamond" w:hAnsi="Garamond"/>
          <w:b/>
          <w:sz w:val="28"/>
          <w:szCs w:val="28"/>
        </w:rPr>
        <w:t xml:space="preserve">: DOES EXCHANGE RATE VOLATILITY MATTER? </w:t>
      </w:r>
      <w:r w:rsidRPr="00217328">
        <w:rPr>
          <w:rFonts w:ascii="Garamond" w:hAnsi="Garamond"/>
          <w:b/>
          <w:sz w:val="36"/>
          <w:szCs w:val="36"/>
        </w:rPr>
        <w:t>*</w:t>
      </w:r>
    </w:p>
    <w:p w:rsidR="00AC6F2B" w:rsidRDefault="00AC6F2B" w:rsidP="00AC6F2B">
      <w:pPr>
        <w:spacing w:line="360" w:lineRule="auto"/>
        <w:jc w:val="center"/>
        <w:rPr>
          <w:rFonts w:ascii="Garamond" w:hAnsi="Garamond"/>
          <w:b/>
          <w:sz w:val="28"/>
          <w:szCs w:val="28"/>
        </w:rPr>
      </w:pPr>
    </w:p>
    <w:p w:rsidR="00AC6F2B" w:rsidRDefault="00AC6F2B" w:rsidP="00AC6F2B">
      <w:pPr>
        <w:spacing w:line="360" w:lineRule="auto"/>
        <w:jc w:val="center"/>
        <w:rPr>
          <w:rFonts w:ascii="Garamond" w:hAnsi="Garamond"/>
          <w:b/>
          <w:sz w:val="28"/>
          <w:szCs w:val="28"/>
        </w:rPr>
      </w:pPr>
    </w:p>
    <w:p w:rsidR="00AC6F2B" w:rsidRDefault="00AC6F2B" w:rsidP="00AC6F2B">
      <w:pPr>
        <w:spacing w:line="360" w:lineRule="auto"/>
        <w:jc w:val="center"/>
        <w:rPr>
          <w:rFonts w:ascii="Garamond" w:hAnsi="Garamond"/>
          <w:b/>
          <w:sz w:val="28"/>
          <w:szCs w:val="28"/>
        </w:rPr>
      </w:pPr>
    </w:p>
    <w:p w:rsidR="00AC6F2B" w:rsidRPr="00217328" w:rsidRDefault="00AC6F2B" w:rsidP="00AC6F2B">
      <w:pPr>
        <w:spacing w:line="360" w:lineRule="auto"/>
        <w:jc w:val="center"/>
        <w:rPr>
          <w:rFonts w:ascii="Garamond" w:hAnsi="Garamond"/>
          <w:b/>
          <w:vertAlign w:val="superscript"/>
        </w:rPr>
      </w:pPr>
      <w:r w:rsidRPr="002E0D01">
        <w:rPr>
          <w:rFonts w:ascii="Garamond" w:hAnsi="Garamond"/>
          <w:b/>
          <w:sz w:val="32"/>
          <w:szCs w:val="32"/>
        </w:rPr>
        <w:t>Eric Kehinde Ogunleye</w:t>
      </w:r>
      <w:r w:rsidRPr="00217328">
        <w:rPr>
          <w:rFonts w:ascii="Garamond" w:hAnsi="Garamond"/>
          <w:b/>
          <w:sz w:val="36"/>
          <w:szCs w:val="36"/>
          <w:vertAlign w:val="superscript"/>
        </w:rPr>
        <w:t>♣</w:t>
      </w:r>
    </w:p>
    <w:p w:rsidR="00AC6F2B" w:rsidRDefault="00AC6F2B" w:rsidP="00AC6F2B">
      <w:pPr>
        <w:spacing w:line="360" w:lineRule="auto"/>
        <w:jc w:val="center"/>
        <w:rPr>
          <w:rFonts w:ascii="Garamond" w:hAnsi="Garamond"/>
          <w:b/>
          <w:sz w:val="28"/>
          <w:szCs w:val="28"/>
        </w:rPr>
      </w:pPr>
    </w:p>
    <w:p w:rsidR="009D0784" w:rsidRPr="00217328" w:rsidRDefault="009D0784" w:rsidP="009D0784">
      <w:pPr>
        <w:spacing w:line="360" w:lineRule="auto"/>
        <w:jc w:val="center"/>
        <w:rPr>
          <w:rFonts w:ascii="Garamond" w:hAnsi="Garamond"/>
          <w:b/>
          <w:sz w:val="28"/>
          <w:szCs w:val="28"/>
        </w:rPr>
      </w:pPr>
      <w:r w:rsidRPr="00217328">
        <w:rPr>
          <w:rFonts w:ascii="Garamond" w:hAnsi="Garamond"/>
          <w:b/>
          <w:sz w:val="28"/>
          <w:szCs w:val="28"/>
        </w:rPr>
        <w:t>Abstract</w:t>
      </w:r>
    </w:p>
    <w:p w:rsidR="00AC6F2B" w:rsidRDefault="009D0784" w:rsidP="009D0784">
      <w:pPr>
        <w:spacing w:line="360" w:lineRule="auto"/>
        <w:jc w:val="both"/>
        <w:rPr>
          <w:rFonts w:ascii="Garamond" w:hAnsi="Garamond"/>
          <w:b/>
          <w:sz w:val="28"/>
          <w:szCs w:val="28"/>
        </w:rPr>
      </w:pPr>
      <w:r>
        <w:rPr>
          <w:rFonts w:ascii="Garamond" w:hAnsi="Garamond"/>
        </w:rPr>
        <w:t>E</w:t>
      </w:r>
      <w:r w:rsidRPr="00217328">
        <w:rPr>
          <w:rFonts w:ascii="Garamond" w:hAnsi="Garamond"/>
        </w:rPr>
        <w:t xml:space="preserve">xchange rate volatility </w:t>
      </w:r>
      <w:r>
        <w:rPr>
          <w:rFonts w:ascii="Garamond" w:hAnsi="Garamond"/>
        </w:rPr>
        <w:t xml:space="preserve">(ERV) </w:t>
      </w:r>
      <w:r w:rsidRPr="00217328">
        <w:rPr>
          <w:rFonts w:ascii="Garamond" w:hAnsi="Garamond"/>
        </w:rPr>
        <w:t>adversely affects Foreign Direct Investment (FDI)</w:t>
      </w:r>
      <w:r>
        <w:rPr>
          <w:rFonts w:ascii="Garamond" w:hAnsi="Garamond"/>
        </w:rPr>
        <w:t xml:space="preserve"> by increasing</w:t>
      </w:r>
      <w:r w:rsidRPr="00217328">
        <w:rPr>
          <w:rFonts w:ascii="Garamond" w:hAnsi="Garamond"/>
        </w:rPr>
        <w:t xml:space="preserve"> the risk of investment</w:t>
      </w:r>
      <w:r>
        <w:rPr>
          <w:rFonts w:ascii="Garamond" w:hAnsi="Garamond"/>
        </w:rPr>
        <w:t>, thereby reducing</w:t>
      </w:r>
      <w:r w:rsidRPr="00217328">
        <w:rPr>
          <w:rFonts w:ascii="Garamond" w:hAnsi="Garamond"/>
        </w:rPr>
        <w:t xml:space="preserve"> profits. However, most researchers </w:t>
      </w:r>
      <w:r>
        <w:rPr>
          <w:rFonts w:ascii="Garamond" w:hAnsi="Garamond"/>
        </w:rPr>
        <w:t xml:space="preserve">and policymakers </w:t>
      </w:r>
      <w:r w:rsidRPr="00217328">
        <w:rPr>
          <w:rFonts w:ascii="Garamond" w:hAnsi="Garamond"/>
        </w:rPr>
        <w:t xml:space="preserve">tend to overlook the </w:t>
      </w:r>
      <w:r>
        <w:rPr>
          <w:rFonts w:ascii="Garamond" w:hAnsi="Garamond"/>
        </w:rPr>
        <w:t>effects</w:t>
      </w:r>
      <w:r w:rsidRPr="00217328">
        <w:rPr>
          <w:rFonts w:ascii="Garamond" w:hAnsi="Garamond"/>
        </w:rPr>
        <w:t xml:space="preserve"> of </w:t>
      </w:r>
      <w:r>
        <w:rPr>
          <w:rFonts w:ascii="Garamond" w:hAnsi="Garamond"/>
        </w:rPr>
        <w:t>ERV</w:t>
      </w:r>
      <w:r w:rsidRPr="00217328">
        <w:rPr>
          <w:rFonts w:ascii="Garamond" w:hAnsi="Garamond"/>
        </w:rPr>
        <w:t xml:space="preserve"> </w:t>
      </w:r>
      <w:r>
        <w:rPr>
          <w:rFonts w:ascii="Garamond" w:hAnsi="Garamond"/>
        </w:rPr>
        <w:t>on FDI in Sub-Saharan Africa (SSA). This study examines whether ERV is an important explanation for the observed consistently low FDI flows to SSA, e</w:t>
      </w:r>
      <w:r w:rsidRPr="00217328">
        <w:rPr>
          <w:rFonts w:ascii="Garamond" w:hAnsi="Garamond"/>
        </w:rPr>
        <w:t xml:space="preserve">mploying the </w:t>
      </w:r>
      <w:r>
        <w:rPr>
          <w:rFonts w:ascii="Garamond" w:hAnsi="Garamond"/>
        </w:rPr>
        <w:t>EGARCH</w:t>
      </w:r>
      <w:r w:rsidRPr="00217328">
        <w:rPr>
          <w:rFonts w:ascii="Garamond" w:hAnsi="Garamond"/>
        </w:rPr>
        <w:t xml:space="preserve"> model </w:t>
      </w:r>
      <w:r>
        <w:rPr>
          <w:rFonts w:ascii="Garamond" w:hAnsi="Garamond"/>
        </w:rPr>
        <w:t>for</w:t>
      </w:r>
      <w:r w:rsidRPr="00217328">
        <w:rPr>
          <w:rFonts w:ascii="Garamond" w:hAnsi="Garamond"/>
        </w:rPr>
        <w:t xml:space="preserve"> volatility variable and fixed effects panel </w:t>
      </w:r>
      <w:r>
        <w:rPr>
          <w:rFonts w:ascii="Garamond" w:hAnsi="Garamond"/>
        </w:rPr>
        <w:t xml:space="preserve">estimation </w:t>
      </w:r>
      <w:r w:rsidRPr="00217328">
        <w:rPr>
          <w:rFonts w:ascii="Garamond" w:hAnsi="Garamond"/>
        </w:rPr>
        <w:t>model</w:t>
      </w:r>
      <w:r>
        <w:rPr>
          <w:rFonts w:ascii="Garamond" w:hAnsi="Garamond"/>
        </w:rPr>
        <w:t>. I</w:t>
      </w:r>
      <w:r w:rsidRPr="00217328">
        <w:rPr>
          <w:rFonts w:ascii="Garamond" w:hAnsi="Garamond"/>
        </w:rPr>
        <w:t xml:space="preserve">t is found that </w:t>
      </w:r>
      <w:r>
        <w:rPr>
          <w:rFonts w:ascii="Garamond" w:hAnsi="Garamond"/>
        </w:rPr>
        <w:t>ERV</w:t>
      </w:r>
      <w:r w:rsidRPr="00217328">
        <w:rPr>
          <w:rFonts w:ascii="Garamond" w:hAnsi="Garamond"/>
        </w:rPr>
        <w:t xml:space="preserve"> adversely affected FDI inflows, though not uniformly so</w:t>
      </w:r>
      <w:r>
        <w:rPr>
          <w:rFonts w:ascii="Garamond" w:hAnsi="Garamond"/>
        </w:rPr>
        <w:t>,</w:t>
      </w:r>
      <w:r w:rsidRPr="00217328">
        <w:rPr>
          <w:rFonts w:ascii="Garamond" w:hAnsi="Garamond"/>
        </w:rPr>
        <w:t xml:space="preserve"> when the countries are sub-divided into CFA and non-CFA</w:t>
      </w:r>
      <w:r>
        <w:rPr>
          <w:rFonts w:ascii="Garamond" w:hAnsi="Garamond"/>
        </w:rPr>
        <w:t>, establishing</w:t>
      </w:r>
      <w:r w:rsidRPr="00217328">
        <w:rPr>
          <w:rFonts w:ascii="Garamond" w:hAnsi="Garamond"/>
        </w:rPr>
        <w:t xml:space="preserve"> the weakest effect in the former case.</w:t>
      </w:r>
    </w:p>
    <w:p w:rsidR="00AC6F2B" w:rsidRDefault="00AC6F2B" w:rsidP="00AC6F2B">
      <w:pPr>
        <w:spacing w:line="360" w:lineRule="auto"/>
        <w:jc w:val="center"/>
        <w:rPr>
          <w:rFonts w:ascii="Garamond" w:hAnsi="Garamond"/>
          <w:b/>
          <w:sz w:val="28"/>
          <w:szCs w:val="28"/>
        </w:rPr>
      </w:pPr>
    </w:p>
    <w:p w:rsidR="009D0784" w:rsidRDefault="009D0784" w:rsidP="00AC6F2B">
      <w:pPr>
        <w:spacing w:line="360" w:lineRule="auto"/>
        <w:jc w:val="center"/>
        <w:rPr>
          <w:rFonts w:ascii="Garamond" w:hAnsi="Garamond"/>
          <w:b/>
          <w:sz w:val="28"/>
          <w:szCs w:val="28"/>
        </w:rPr>
      </w:pPr>
    </w:p>
    <w:p w:rsidR="00AC6F2B" w:rsidRDefault="00AC6F2B" w:rsidP="00AC6F2B">
      <w:pPr>
        <w:spacing w:line="360" w:lineRule="auto"/>
        <w:jc w:val="both"/>
        <w:rPr>
          <w:rFonts w:ascii="Garamond" w:hAnsi="Garamond"/>
          <w:sz w:val="22"/>
          <w:szCs w:val="22"/>
        </w:rPr>
      </w:pPr>
      <w:r w:rsidRPr="00217328">
        <w:rPr>
          <w:rFonts w:ascii="Garamond" w:hAnsi="Garamond"/>
          <w:b/>
          <w:sz w:val="22"/>
          <w:szCs w:val="22"/>
        </w:rPr>
        <w:t>Key words</w:t>
      </w:r>
      <w:r>
        <w:rPr>
          <w:rFonts w:ascii="Garamond" w:hAnsi="Garamond"/>
          <w:sz w:val="22"/>
          <w:szCs w:val="22"/>
        </w:rPr>
        <w:t>: F</w:t>
      </w:r>
      <w:r w:rsidRPr="00217328">
        <w:rPr>
          <w:rFonts w:ascii="Garamond" w:hAnsi="Garamond"/>
          <w:sz w:val="22"/>
          <w:szCs w:val="22"/>
        </w:rPr>
        <w:t xml:space="preserve">oreign direct investment, </w:t>
      </w:r>
      <w:r>
        <w:rPr>
          <w:rFonts w:ascii="Garamond" w:hAnsi="Garamond"/>
          <w:sz w:val="22"/>
          <w:szCs w:val="22"/>
        </w:rPr>
        <w:t xml:space="preserve">exchange rate volatility, EGARCH model, </w:t>
      </w:r>
      <w:r w:rsidRPr="00217328">
        <w:rPr>
          <w:rFonts w:ascii="Garamond" w:hAnsi="Garamond"/>
          <w:sz w:val="22"/>
          <w:szCs w:val="22"/>
        </w:rPr>
        <w:t>sub-Sahara Africa.</w:t>
      </w:r>
    </w:p>
    <w:p w:rsidR="00AC6F2B" w:rsidRPr="004F7C16" w:rsidRDefault="00AC6F2B" w:rsidP="00AC6F2B">
      <w:pPr>
        <w:spacing w:line="360" w:lineRule="auto"/>
        <w:jc w:val="both"/>
        <w:rPr>
          <w:rFonts w:ascii="Garamond" w:hAnsi="Garamond"/>
          <w:sz w:val="22"/>
          <w:szCs w:val="22"/>
        </w:rPr>
      </w:pPr>
      <w:r>
        <w:rPr>
          <w:rFonts w:ascii="Garamond" w:hAnsi="Garamond"/>
          <w:b/>
          <w:sz w:val="22"/>
          <w:szCs w:val="22"/>
        </w:rPr>
        <w:t xml:space="preserve">JEL Classification: </w:t>
      </w:r>
      <w:r>
        <w:rPr>
          <w:rFonts w:ascii="Garamond" w:hAnsi="Garamond"/>
          <w:sz w:val="22"/>
          <w:szCs w:val="22"/>
        </w:rPr>
        <w:t>F21, F31, O55</w:t>
      </w:r>
    </w:p>
    <w:p w:rsidR="00AC6F2B" w:rsidRPr="00217328" w:rsidRDefault="00AC6F2B" w:rsidP="00AC6F2B">
      <w:pPr>
        <w:spacing w:line="360" w:lineRule="auto"/>
        <w:jc w:val="both"/>
        <w:rPr>
          <w:rFonts w:ascii="Garamond" w:hAnsi="Garamond"/>
          <w:sz w:val="20"/>
          <w:szCs w:val="20"/>
        </w:rPr>
      </w:pPr>
    </w:p>
    <w:p w:rsidR="00AC6F2B" w:rsidRPr="005A2D6B" w:rsidRDefault="00AC6F2B" w:rsidP="00AC6F2B">
      <w:pPr>
        <w:jc w:val="both"/>
        <w:rPr>
          <w:rFonts w:ascii="Garamond" w:hAnsi="Garamond" w:cs="Arial"/>
          <w:color w:val="000000"/>
          <w:sz w:val="22"/>
          <w:szCs w:val="22"/>
        </w:rPr>
      </w:pPr>
      <w:r w:rsidRPr="00217328">
        <w:rPr>
          <w:rFonts w:ascii="Garamond" w:hAnsi="Garamond"/>
          <w:b/>
          <w:sz w:val="36"/>
          <w:szCs w:val="36"/>
        </w:rPr>
        <w:t>*</w:t>
      </w:r>
      <w:r w:rsidRPr="00217328">
        <w:rPr>
          <w:rFonts w:ascii="Garamond" w:hAnsi="Garamond"/>
          <w:b/>
        </w:rPr>
        <w:t xml:space="preserve"> </w:t>
      </w:r>
      <w:r w:rsidRPr="00217328">
        <w:rPr>
          <w:rFonts w:ascii="Garamond" w:hAnsi="Garamond"/>
          <w:sz w:val="22"/>
          <w:szCs w:val="22"/>
        </w:rPr>
        <w:t xml:space="preserve">This paper is based on a PhD Dissertation </w:t>
      </w:r>
      <w:r>
        <w:rPr>
          <w:rFonts w:ascii="Garamond" w:hAnsi="Garamond"/>
          <w:sz w:val="22"/>
          <w:szCs w:val="22"/>
        </w:rPr>
        <w:t xml:space="preserve">entitled </w:t>
      </w:r>
      <w:r w:rsidRPr="00217328">
        <w:rPr>
          <w:rFonts w:ascii="Garamond" w:hAnsi="Garamond"/>
          <w:sz w:val="22"/>
          <w:szCs w:val="22"/>
        </w:rPr>
        <w:t xml:space="preserve">“Exchange Rate Volatility and Foreign Direct Investment Inflows in Selected Sub-Sahara African Countries, 1970-2005”. </w:t>
      </w:r>
      <w:r>
        <w:rPr>
          <w:rFonts w:ascii="Garamond" w:hAnsi="Garamond"/>
          <w:sz w:val="22"/>
          <w:szCs w:val="22"/>
        </w:rPr>
        <w:t>Th</w:t>
      </w:r>
      <w:r w:rsidR="00CB692E">
        <w:rPr>
          <w:rFonts w:ascii="Garamond" w:hAnsi="Garamond"/>
          <w:sz w:val="22"/>
          <w:szCs w:val="22"/>
        </w:rPr>
        <w:t>e invaluable input of Professor</w:t>
      </w:r>
      <w:r>
        <w:rPr>
          <w:rFonts w:ascii="Garamond" w:hAnsi="Garamond"/>
          <w:sz w:val="22"/>
          <w:szCs w:val="22"/>
        </w:rPr>
        <w:t xml:space="preserve"> Festus Egwaikhide, Chair of my </w:t>
      </w:r>
      <w:r w:rsidR="00CB692E">
        <w:rPr>
          <w:rFonts w:ascii="Garamond" w:hAnsi="Garamond"/>
          <w:sz w:val="22"/>
          <w:szCs w:val="22"/>
        </w:rPr>
        <w:t>Thesis C</w:t>
      </w:r>
      <w:r>
        <w:rPr>
          <w:rFonts w:ascii="Garamond" w:hAnsi="Garamond"/>
          <w:sz w:val="22"/>
          <w:szCs w:val="22"/>
        </w:rPr>
        <w:t xml:space="preserve">ommittee is highly appreciated. </w:t>
      </w:r>
      <w:r w:rsidRPr="00217328">
        <w:rPr>
          <w:rFonts w:ascii="Garamond" w:hAnsi="Garamond"/>
          <w:sz w:val="22"/>
          <w:szCs w:val="22"/>
        </w:rPr>
        <w:t xml:space="preserve">The PhD programme </w:t>
      </w:r>
      <w:r>
        <w:rPr>
          <w:rFonts w:ascii="Garamond" w:hAnsi="Garamond"/>
          <w:sz w:val="22"/>
          <w:szCs w:val="22"/>
        </w:rPr>
        <w:t>was</w:t>
      </w:r>
      <w:r w:rsidRPr="00217328">
        <w:rPr>
          <w:rFonts w:ascii="Garamond" w:hAnsi="Garamond"/>
          <w:sz w:val="22"/>
          <w:szCs w:val="22"/>
        </w:rPr>
        <w:t xml:space="preserve"> supported by the C</w:t>
      </w:r>
      <w:r w:rsidR="00CB692E">
        <w:rPr>
          <w:rFonts w:ascii="Garamond" w:hAnsi="Garamond"/>
          <w:sz w:val="22"/>
          <w:szCs w:val="22"/>
        </w:rPr>
        <w:t xml:space="preserve">ollaborative </w:t>
      </w:r>
      <w:r w:rsidRPr="00217328">
        <w:rPr>
          <w:rFonts w:ascii="Garamond" w:hAnsi="Garamond"/>
          <w:sz w:val="22"/>
          <w:szCs w:val="22"/>
        </w:rPr>
        <w:t>P</w:t>
      </w:r>
      <w:r w:rsidR="00CB692E">
        <w:rPr>
          <w:rFonts w:ascii="Garamond" w:hAnsi="Garamond"/>
          <w:sz w:val="22"/>
          <w:szCs w:val="22"/>
        </w:rPr>
        <w:t xml:space="preserve">h.D. </w:t>
      </w:r>
      <w:r w:rsidRPr="00217328">
        <w:rPr>
          <w:rFonts w:ascii="Garamond" w:hAnsi="Garamond"/>
          <w:sz w:val="22"/>
          <w:szCs w:val="22"/>
        </w:rPr>
        <w:t>P</w:t>
      </w:r>
      <w:r w:rsidR="00CB692E">
        <w:rPr>
          <w:rFonts w:ascii="Garamond" w:hAnsi="Garamond"/>
          <w:sz w:val="22"/>
          <w:szCs w:val="22"/>
        </w:rPr>
        <w:t>rogramme</w:t>
      </w:r>
      <w:r w:rsidRPr="00217328">
        <w:rPr>
          <w:rFonts w:ascii="Garamond" w:hAnsi="Garamond"/>
          <w:sz w:val="22"/>
          <w:szCs w:val="22"/>
        </w:rPr>
        <w:t xml:space="preserve"> Scholarship offered by the African Economic Research Consortium and also benefited from UNU-WIDER PhD Research Internship and the</w:t>
      </w:r>
      <w:r w:rsidR="00CB692E">
        <w:rPr>
          <w:rFonts w:ascii="Garamond" w:hAnsi="Garamond"/>
          <w:sz w:val="22"/>
          <w:szCs w:val="22"/>
        </w:rPr>
        <w:t xml:space="preserve"> WTO Doctoral Support Programmes </w:t>
      </w:r>
      <w:r w:rsidRPr="00217328">
        <w:rPr>
          <w:rFonts w:ascii="Garamond" w:hAnsi="Garamond"/>
          <w:sz w:val="22"/>
          <w:szCs w:val="22"/>
        </w:rPr>
        <w:t xml:space="preserve">under the respective supervision of Augustin Fosu and </w:t>
      </w:r>
      <w:r w:rsidRPr="00217328">
        <w:rPr>
          <w:rFonts w:ascii="Garamond" w:hAnsi="Garamond" w:cs="Arial"/>
          <w:color w:val="000000"/>
          <w:sz w:val="22"/>
          <w:szCs w:val="22"/>
        </w:rPr>
        <w:t>Marc Bacchetta. The financial supports of these institutions are gratefully acknowledged. I am also grateful to participants in AERC bi-annual workshops where earlier drafts of this paper were presented for their useful comments.</w:t>
      </w:r>
      <w:r>
        <w:rPr>
          <w:rFonts w:ascii="Garamond" w:hAnsi="Garamond" w:cs="Arial"/>
          <w:color w:val="000000"/>
          <w:sz w:val="22"/>
          <w:szCs w:val="22"/>
        </w:rPr>
        <w:t xml:space="preserve"> </w:t>
      </w:r>
      <w:r w:rsidRPr="005A2D6B">
        <w:rPr>
          <w:rFonts w:ascii="Garamond" w:hAnsi="Garamond"/>
          <w:bCs/>
        </w:rPr>
        <w:t>The findings, interpretations, and conclusions expressed in this paper are entirely personal to the author and do not necessarily represent the views of the Office of the Chief Economic Adviser to the President of the Federal Republic of Nigeria.</w:t>
      </w:r>
    </w:p>
    <w:p w:rsidR="00AC6F2B" w:rsidRDefault="00AC6F2B" w:rsidP="00AC6F2B">
      <w:pPr>
        <w:ind w:left="284" w:hanging="284"/>
        <w:rPr>
          <w:rFonts w:ascii="Garamond" w:hAnsi="Garamond"/>
          <w:b/>
          <w:sz w:val="36"/>
          <w:szCs w:val="36"/>
          <w:vertAlign w:val="superscript"/>
        </w:rPr>
      </w:pPr>
    </w:p>
    <w:p w:rsidR="00AC6F2B" w:rsidRDefault="00AC6F2B" w:rsidP="00AC6F2B">
      <w:pPr>
        <w:ind w:left="284" w:hanging="284"/>
        <w:rPr>
          <w:rFonts w:ascii="Garamond" w:hAnsi="Garamond"/>
          <w:sz w:val="22"/>
          <w:szCs w:val="22"/>
        </w:rPr>
      </w:pPr>
      <w:r w:rsidRPr="00217328">
        <w:rPr>
          <w:rFonts w:ascii="Garamond" w:hAnsi="Garamond"/>
          <w:b/>
          <w:sz w:val="36"/>
          <w:szCs w:val="36"/>
          <w:vertAlign w:val="superscript"/>
        </w:rPr>
        <w:t xml:space="preserve">♣ </w:t>
      </w:r>
      <w:r>
        <w:rPr>
          <w:rFonts w:ascii="Garamond" w:hAnsi="Garamond"/>
          <w:sz w:val="22"/>
          <w:szCs w:val="22"/>
        </w:rPr>
        <w:t xml:space="preserve">Office of the Chief Economic Adviser to the President, Abuja, Nigeria. Email: </w:t>
      </w:r>
      <w:hyperlink r:id="rId7" w:history="1">
        <w:r w:rsidRPr="00FD4D96">
          <w:rPr>
            <w:rStyle w:val="Hyperlink"/>
            <w:rFonts w:ascii="Garamond" w:hAnsi="Garamond"/>
            <w:sz w:val="22"/>
            <w:szCs w:val="22"/>
          </w:rPr>
          <w:t>eric.oleye@yahoo.com</w:t>
        </w:r>
      </w:hyperlink>
      <w:r>
        <w:rPr>
          <w:rFonts w:ascii="Garamond" w:hAnsi="Garamond"/>
          <w:sz w:val="22"/>
          <w:szCs w:val="22"/>
        </w:rPr>
        <w:t>. Tel: +234 81 8802 1941</w:t>
      </w:r>
    </w:p>
    <w:p w:rsidR="00AC6F2B" w:rsidRDefault="00AC6F2B" w:rsidP="00AC6F2B"/>
    <w:p w:rsidR="008163DD" w:rsidRPr="00217328" w:rsidRDefault="00F25970" w:rsidP="00432C32">
      <w:pPr>
        <w:spacing w:line="360" w:lineRule="auto"/>
        <w:jc w:val="both"/>
        <w:rPr>
          <w:rFonts w:ascii="Garamond" w:hAnsi="Garamond" w:cs="Arial"/>
          <w:b/>
        </w:rPr>
      </w:pPr>
      <w:r w:rsidRPr="00217328">
        <w:rPr>
          <w:rFonts w:ascii="Garamond" w:hAnsi="Garamond" w:cs="Arial"/>
          <w:b/>
        </w:rPr>
        <w:lastRenderedPageBreak/>
        <w:t>1. Introduction</w:t>
      </w:r>
    </w:p>
    <w:p w:rsidR="006D23CD" w:rsidRPr="00217328" w:rsidRDefault="006D23CD" w:rsidP="00432C32">
      <w:pPr>
        <w:spacing w:line="360" w:lineRule="auto"/>
        <w:jc w:val="both"/>
        <w:rPr>
          <w:rFonts w:ascii="Garamond" w:eastAsia="PMingLiU" w:hAnsi="Garamond" w:cs="Arial"/>
        </w:rPr>
      </w:pPr>
      <w:r w:rsidRPr="00217328">
        <w:rPr>
          <w:rFonts w:ascii="Garamond" w:eastAsia="PMingLiU" w:hAnsi="Garamond" w:cs="Arial"/>
        </w:rPr>
        <w:t>Exchange rate volatility</w:t>
      </w:r>
      <w:r w:rsidR="000F2236" w:rsidRPr="00217328">
        <w:rPr>
          <w:rFonts w:ascii="Garamond" w:eastAsia="PMingLiU" w:hAnsi="Garamond" w:cs="Arial"/>
        </w:rPr>
        <w:t xml:space="preserve"> (ERV)</w:t>
      </w:r>
      <w:r w:rsidRPr="00217328">
        <w:rPr>
          <w:rFonts w:ascii="Garamond" w:eastAsia="PMingLiU" w:hAnsi="Garamond" w:cs="Arial"/>
        </w:rPr>
        <w:t xml:space="preserve"> is a fundamental issue in the foreign investment decision process because of its direct impact on the choice of a country or region (see, for instance,</w:t>
      </w:r>
      <w:r w:rsidRPr="00217328">
        <w:rPr>
          <w:rFonts w:ascii="Garamond" w:eastAsia="PMingLiU" w:hAnsi="Garamond" w:cs="Arial"/>
          <w:color w:val="FF0000"/>
        </w:rPr>
        <w:t xml:space="preserve"> </w:t>
      </w:r>
      <w:r w:rsidRPr="00217328">
        <w:rPr>
          <w:rFonts w:ascii="Garamond" w:hAnsi="Garamond" w:cs="Arial"/>
        </w:rPr>
        <w:t>Goldberg and Kolstad, 1995; Goldberg, 1997; and Razafimahefa and Hamori, 2005)</w:t>
      </w:r>
      <w:r w:rsidRPr="00217328">
        <w:rPr>
          <w:rFonts w:ascii="Garamond" w:eastAsia="PMingLiU" w:hAnsi="Garamond" w:cs="Arial"/>
        </w:rPr>
        <w:t xml:space="preserve">. This is because </w:t>
      </w:r>
      <w:r w:rsidR="000F2236" w:rsidRPr="00217328">
        <w:rPr>
          <w:rFonts w:ascii="Garamond" w:eastAsia="PMingLiU" w:hAnsi="Garamond" w:cs="Arial"/>
        </w:rPr>
        <w:t>ERV</w:t>
      </w:r>
      <w:r w:rsidRPr="00217328">
        <w:rPr>
          <w:rFonts w:ascii="Garamond" w:eastAsia="PMingLiU" w:hAnsi="Garamond" w:cs="Arial"/>
        </w:rPr>
        <w:t xml:space="preserve"> exposes foreign investors to risks emanating from capital loss </w:t>
      </w:r>
      <w:r w:rsidR="00E57D22" w:rsidRPr="00217328">
        <w:rPr>
          <w:rFonts w:ascii="Garamond" w:eastAsia="PMingLiU" w:hAnsi="Garamond" w:cs="Arial"/>
        </w:rPr>
        <w:t xml:space="preserve">or gain </w:t>
      </w:r>
      <w:r w:rsidRPr="00217328">
        <w:rPr>
          <w:rFonts w:ascii="Garamond" w:eastAsia="PMingLiU" w:hAnsi="Garamond" w:cs="Arial"/>
        </w:rPr>
        <w:t>resulting from large swings in exchange rate movements by increasing the variance of profits.</w:t>
      </w:r>
      <w:r w:rsidRPr="00217328">
        <w:rPr>
          <w:rFonts w:ascii="Garamond" w:eastAsia="PMingLiU" w:hAnsi="Garamond" w:cs="Arial"/>
          <w:color w:val="FF0000"/>
        </w:rPr>
        <w:t xml:space="preserve"> </w:t>
      </w:r>
      <w:r w:rsidRPr="00217328">
        <w:rPr>
          <w:rFonts w:ascii="Garamond" w:eastAsia="PMingLiU" w:hAnsi="Garamond" w:cs="Arial"/>
        </w:rPr>
        <w:t>The uncertainty and unpredictability of the investment climate engendered by exchange rate volatility could cause</w:t>
      </w:r>
      <w:r w:rsidRPr="00217328">
        <w:rPr>
          <w:rFonts w:ascii="Garamond" w:hAnsi="Garamond" w:cs="Arial"/>
        </w:rPr>
        <w:t xml:space="preserve"> investors to hesitate about committing resources to foreign investment.</w:t>
      </w:r>
      <w:r w:rsidRPr="00217328">
        <w:rPr>
          <w:rFonts w:ascii="Garamond" w:eastAsia="PMingLiU" w:hAnsi="Garamond" w:cs="Arial"/>
        </w:rPr>
        <w:t xml:space="preserve"> </w:t>
      </w:r>
      <w:r w:rsidRPr="00217328">
        <w:rPr>
          <w:rFonts w:ascii="Garamond" w:hAnsi="Garamond" w:cs="Arial"/>
        </w:rPr>
        <w:t>Thus, exchange rate</w:t>
      </w:r>
      <w:r w:rsidR="00CC7509" w:rsidRPr="00217328">
        <w:rPr>
          <w:rFonts w:ascii="Garamond" w:hAnsi="Garamond" w:cs="Arial"/>
        </w:rPr>
        <w:t xml:space="preserve"> movement</w:t>
      </w:r>
      <w:r w:rsidRPr="00217328">
        <w:rPr>
          <w:rFonts w:ascii="Garamond" w:hAnsi="Garamond" w:cs="Arial"/>
        </w:rPr>
        <w:t xml:space="preserve"> is an important variable in the investment decision process that can either improve or</w:t>
      </w:r>
      <w:r w:rsidR="00CC7509" w:rsidRPr="00217328">
        <w:rPr>
          <w:rFonts w:ascii="Garamond" w:hAnsi="Garamond" w:cs="Arial"/>
          <w:color w:val="292526"/>
        </w:rPr>
        <w:t xml:space="preserve"> worsen the chances of a</w:t>
      </w:r>
      <w:r w:rsidRPr="00217328">
        <w:rPr>
          <w:rFonts w:ascii="Garamond" w:hAnsi="Garamond" w:cs="Arial"/>
          <w:color w:val="292526"/>
        </w:rPr>
        <w:t xml:space="preserve"> country being </w:t>
      </w:r>
      <w:r w:rsidRPr="00217328">
        <w:rPr>
          <w:rFonts w:ascii="Garamond" w:hAnsi="Garamond" w:cs="Arial"/>
        </w:rPr>
        <w:t>chosen</w:t>
      </w:r>
      <w:r w:rsidR="00CC7509" w:rsidRPr="00217328">
        <w:rPr>
          <w:rFonts w:ascii="Garamond" w:hAnsi="Garamond" w:cs="Arial"/>
        </w:rPr>
        <w:t xml:space="preserve"> as a host</w:t>
      </w:r>
      <w:r w:rsidRPr="00217328">
        <w:rPr>
          <w:rFonts w:ascii="Garamond" w:hAnsi="Garamond" w:cs="Arial"/>
        </w:rPr>
        <w:t xml:space="preserve"> (</w:t>
      </w:r>
      <w:r w:rsidRPr="00217328">
        <w:rPr>
          <w:rFonts w:ascii="Garamond" w:eastAsia="PMingLiU" w:hAnsi="Garamond" w:cs="Arial"/>
        </w:rPr>
        <w:t xml:space="preserve">Ruiz, 2005). Little wonder, then, that </w:t>
      </w:r>
      <w:r w:rsidRPr="00217328">
        <w:rPr>
          <w:rFonts w:ascii="Garamond" w:hAnsi="Garamond" w:cs="Arial"/>
        </w:rPr>
        <w:t xml:space="preserve">Bénassy-Quéré </w:t>
      </w:r>
      <w:r w:rsidRPr="00217328">
        <w:rPr>
          <w:rFonts w:ascii="Garamond" w:hAnsi="Garamond" w:cs="Arial"/>
          <w:i/>
        </w:rPr>
        <w:t>et al,</w:t>
      </w:r>
      <w:r w:rsidRPr="00217328">
        <w:rPr>
          <w:rFonts w:ascii="Garamond" w:hAnsi="Garamond" w:cs="Arial"/>
        </w:rPr>
        <w:t xml:space="preserve"> </w:t>
      </w:r>
      <w:r w:rsidRPr="00217328">
        <w:rPr>
          <w:rFonts w:ascii="Garamond" w:hAnsi="Garamond" w:cs="Arial"/>
          <w:iCs/>
        </w:rPr>
        <w:t xml:space="preserve">(2001) argued that </w:t>
      </w:r>
      <w:r w:rsidRPr="00217328">
        <w:rPr>
          <w:rFonts w:ascii="Garamond" w:eastAsia="PMingLiU" w:hAnsi="Garamond" w:cs="Arial"/>
        </w:rPr>
        <w:t>exchange rate movements could change the</w:t>
      </w:r>
      <w:r w:rsidRPr="00217328">
        <w:rPr>
          <w:rFonts w:ascii="Garamond" w:eastAsia="PMingLiU" w:hAnsi="Garamond" w:cs="Arial"/>
          <w:color w:val="FF0000"/>
        </w:rPr>
        <w:t xml:space="preserve"> </w:t>
      </w:r>
      <w:r w:rsidRPr="00217328">
        <w:rPr>
          <w:rFonts w:ascii="Garamond" w:hAnsi="Garamond" w:cs="Arial"/>
          <w:color w:val="292526"/>
        </w:rPr>
        <w:t xml:space="preserve">decision of investing in a particular location. </w:t>
      </w:r>
    </w:p>
    <w:p w:rsidR="00AF4C22" w:rsidRDefault="00AF4C22" w:rsidP="00432C32">
      <w:pPr>
        <w:autoSpaceDE w:val="0"/>
        <w:autoSpaceDN w:val="0"/>
        <w:adjustRightInd w:val="0"/>
        <w:spacing w:line="360" w:lineRule="auto"/>
        <w:jc w:val="both"/>
        <w:rPr>
          <w:rFonts w:ascii="Garamond" w:hAnsi="Garamond" w:cs="Arial"/>
          <w:color w:val="000000"/>
        </w:rPr>
      </w:pPr>
    </w:p>
    <w:p w:rsidR="006D23CD" w:rsidRPr="00217328" w:rsidRDefault="006D23CD" w:rsidP="00432C32">
      <w:pPr>
        <w:autoSpaceDE w:val="0"/>
        <w:autoSpaceDN w:val="0"/>
        <w:adjustRightInd w:val="0"/>
        <w:spacing w:line="360" w:lineRule="auto"/>
        <w:jc w:val="both"/>
        <w:rPr>
          <w:rFonts w:ascii="Garamond" w:hAnsi="Garamond" w:cs="Arial"/>
          <w:sz w:val="20"/>
          <w:szCs w:val="20"/>
        </w:rPr>
      </w:pPr>
      <w:r w:rsidRPr="00217328">
        <w:rPr>
          <w:rFonts w:ascii="Garamond" w:hAnsi="Garamond" w:cs="Arial"/>
          <w:color w:val="292526"/>
        </w:rPr>
        <w:t xml:space="preserve">It is often argued that the level of exchange rate affects the decision to invest in one country or the other depending on whether the host country’s currency is overvalued or not in comparison with the investing country and/or other </w:t>
      </w:r>
      <w:r w:rsidRPr="00217328">
        <w:rPr>
          <w:rFonts w:ascii="Garamond" w:hAnsi="Garamond" w:cs="Arial"/>
        </w:rPr>
        <w:t>countries (Cushman, 1985; Bénassy-Quéré et al</w:t>
      </w:r>
      <w:r w:rsidRPr="00217328">
        <w:rPr>
          <w:rFonts w:ascii="Garamond" w:hAnsi="Garamond" w:cs="Arial"/>
          <w:iCs/>
        </w:rPr>
        <w:t>, 2001;</w:t>
      </w:r>
      <w:r w:rsidRPr="00217328">
        <w:rPr>
          <w:rFonts w:ascii="Garamond" w:hAnsi="Garamond" w:cs="Arial"/>
          <w:iCs/>
          <w:color w:val="FF0000"/>
        </w:rPr>
        <w:t xml:space="preserve"> </w:t>
      </w:r>
      <w:r w:rsidRPr="00217328">
        <w:rPr>
          <w:rFonts w:ascii="Garamond" w:hAnsi="Garamond" w:cs="Arial"/>
          <w:iCs/>
        </w:rPr>
        <w:t>Froot and Stein, 1991; Goldberg and Klein, 1997)</w:t>
      </w:r>
      <w:r w:rsidRPr="00217328">
        <w:rPr>
          <w:rFonts w:ascii="Garamond" w:hAnsi="Garamond" w:cs="Arial"/>
          <w:sz w:val="20"/>
          <w:szCs w:val="20"/>
        </w:rPr>
        <w:t xml:space="preserve">. </w:t>
      </w:r>
      <w:r w:rsidRPr="00217328">
        <w:rPr>
          <w:rFonts w:ascii="Garamond" w:hAnsi="Garamond" w:cs="Arial"/>
        </w:rPr>
        <w:t>Others have argued that it is not the level but the volatility that matters for FDI flows (</w:t>
      </w:r>
      <w:r w:rsidRPr="00217328">
        <w:rPr>
          <w:rFonts w:ascii="Garamond" w:hAnsi="Garamond" w:cs="Arial"/>
          <w:iCs/>
        </w:rPr>
        <w:t xml:space="preserve">Brzozowski, 2003). </w:t>
      </w:r>
      <w:r w:rsidR="000F2236" w:rsidRPr="00217328">
        <w:rPr>
          <w:rFonts w:ascii="Garamond" w:hAnsi="Garamond" w:cs="Arial"/>
        </w:rPr>
        <w:t>Much research has</w:t>
      </w:r>
      <w:r w:rsidRPr="00217328">
        <w:rPr>
          <w:rFonts w:ascii="Garamond" w:hAnsi="Garamond" w:cs="Arial"/>
        </w:rPr>
        <w:t xml:space="preserve"> been done on the FDI- exchange rate nexus. However, the findings in these </w:t>
      </w:r>
      <w:r w:rsidRPr="00217328">
        <w:rPr>
          <w:rFonts w:ascii="Garamond" w:hAnsi="Garamond" w:cs="Arial"/>
          <w:color w:val="292526"/>
        </w:rPr>
        <w:t>studies are inconclusive. More importantly, most of these studies are based on the experiences of developed countries.</w:t>
      </w:r>
    </w:p>
    <w:p w:rsidR="00AF4C22" w:rsidRDefault="00AF4C22" w:rsidP="00432C32">
      <w:pPr>
        <w:spacing w:line="360" w:lineRule="auto"/>
        <w:jc w:val="both"/>
        <w:rPr>
          <w:rFonts w:ascii="Garamond" w:hAnsi="Garamond" w:cs="Arial"/>
          <w:color w:val="000000"/>
          <w:sz w:val="20"/>
          <w:szCs w:val="20"/>
        </w:rPr>
      </w:pPr>
    </w:p>
    <w:p w:rsidR="000F2236" w:rsidRPr="00217328" w:rsidRDefault="006D23CD" w:rsidP="00432C32">
      <w:pPr>
        <w:spacing w:line="360" w:lineRule="auto"/>
        <w:jc w:val="both"/>
        <w:rPr>
          <w:rFonts w:ascii="Garamond" w:hAnsi="Garamond" w:cs="Arial"/>
          <w:color w:val="292526"/>
        </w:rPr>
      </w:pPr>
      <w:r w:rsidRPr="00217328">
        <w:rPr>
          <w:rFonts w:ascii="Garamond" w:hAnsi="Garamond" w:cs="Arial"/>
          <w:color w:val="292526"/>
        </w:rPr>
        <w:t>As pervasive as the dwindling FDI inflows</w:t>
      </w:r>
      <w:r w:rsidR="00DB540C" w:rsidRPr="00217328">
        <w:rPr>
          <w:rFonts w:ascii="Garamond" w:hAnsi="Garamond" w:cs="Arial"/>
          <w:color w:val="292526"/>
        </w:rPr>
        <w:t xml:space="preserve"> and simultaneous large</w:t>
      </w:r>
      <w:r w:rsidRPr="00217328">
        <w:rPr>
          <w:rFonts w:ascii="Garamond" w:hAnsi="Garamond" w:cs="Arial"/>
          <w:color w:val="292526"/>
        </w:rPr>
        <w:t xml:space="preserve"> volatility in foreign exchange rates of SSA countries are, there are very few studies that seek to ask whether there is any relationship between these phenomena</w:t>
      </w:r>
      <w:r w:rsidR="007C1681">
        <w:rPr>
          <w:rFonts w:ascii="Garamond" w:hAnsi="Garamond" w:cs="Arial"/>
          <w:color w:val="292526"/>
        </w:rPr>
        <w:t xml:space="preserve"> in this region</w:t>
      </w:r>
      <w:r w:rsidRPr="00217328">
        <w:rPr>
          <w:rFonts w:ascii="Garamond" w:hAnsi="Garamond" w:cs="Arial"/>
          <w:color w:val="292526"/>
        </w:rPr>
        <w:t xml:space="preserve">. </w:t>
      </w:r>
      <w:r w:rsidR="00C138D6" w:rsidRPr="00217328">
        <w:rPr>
          <w:rFonts w:ascii="Garamond" w:hAnsi="Garamond" w:cs="Arial"/>
          <w:color w:val="292526"/>
        </w:rPr>
        <w:t xml:space="preserve">A few studies that have attempted this enquiry either focused only on levels of exchange rate, public investment or are restricted to a single country analysis (see </w:t>
      </w:r>
      <w:r w:rsidR="00C138D6" w:rsidRPr="00217328">
        <w:rPr>
          <w:rFonts w:ascii="Garamond" w:hAnsi="Garamond" w:cs="Arial"/>
        </w:rPr>
        <w:t xml:space="preserve">Bleaney and Greenaway, 2001; Alaba, 2003; Mwega and Ngugi, 2005; and Khan and Bamou, 2005). </w:t>
      </w:r>
      <w:r w:rsidRPr="00217328">
        <w:rPr>
          <w:rFonts w:ascii="Garamond" w:hAnsi="Garamond" w:cs="Arial"/>
          <w:color w:val="292526"/>
        </w:rPr>
        <w:t>This study, therefore, seeks to answer some questions that have not been given sufficien</w:t>
      </w:r>
      <w:r w:rsidR="007C1681">
        <w:rPr>
          <w:rFonts w:ascii="Garamond" w:hAnsi="Garamond" w:cs="Arial"/>
          <w:color w:val="292526"/>
        </w:rPr>
        <w:t>t attention in the literature: d</w:t>
      </w:r>
      <w:r w:rsidRPr="00217328">
        <w:rPr>
          <w:rFonts w:ascii="Garamond" w:hAnsi="Garamond" w:cs="Arial"/>
          <w:color w:val="292526"/>
        </w:rPr>
        <w:t xml:space="preserve">o exchange rates and most especially exchange rate volatility really matter as a determining motive </w:t>
      </w:r>
      <w:r w:rsidR="007C1681">
        <w:rPr>
          <w:rFonts w:ascii="Garamond" w:hAnsi="Garamond" w:cs="Arial"/>
          <w:color w:val="292526"/>
        </w:rPr>
        <w:t>for</w:t>
      </w:r>
      <w:r w:rsidRPr="00217328">
        <w:rPr>
          <w:rFonts w:ascii="Garamond" w:hAnsi="Garamond" w:cs="Arial"/>
          <w:color w:val="292526"/>
        </w:rPr>
        <w:t xml:space="preserve"> FDI in SSA? If they do, what is the nature of the relationship and to what extent is the effect important?</w:t>
      </w:r>
    </w:p>
    <w:p w:rsidR="00AF4C22" w:rsidRDefault="00AF4C22" w:rsidP="00432C32">
      <w:pPr>
        <w:spacing w:line="360" w:lineRule="auto"/>
        <w:jc w:val="both"/>
        <w:rPr>
          <w:rFonts w:ascii="Garamond" w:hAnsi="Garamond" w:cs="Arial"/>
          <w:color w:val="292526"/>
        </w:rPr>
      </w:pPr>
    </w:p>
    <w:p w:rsidR="004D46B7" w:rsidRPr="00217328" w:rsidRDefault="00AD6CC9" w:rsidP="00432C32">
      <w:pPr>
        <w:spacing w:line="360" w:lineRule="auto"/>
        <w:jc w:val="both"/>
        <w:rPr>
          <w:rFonts w:ascii="Garamond" w:hAnsi="Garamond" w:cs="Arial"/>
          <w:color w:val="292526"/>
        </w:rPr>
      </w:pPr>
      <w:r w:rsidRPr="00217328">
        <w:rPr>
          <w:rFonts w:ascii="Garamond" w:hAnsi="Garamond" w:cs="Arial"/>
          <w:color w:val="292526"/>
        </w:rPr>
        <w:t>Following this introduction, section 2 provides background information on FDI inflows and exchange rate developments in SSA countries with particular focus on the selected countries</w:t>
      </w:r>
      <w:r w:rsidR="004E6ADB" w:rsidRPr="00217328">
        <w:rPr>
          <w:rFonts w:ascii="Garamond" w:hAnsi="Garamond" w:cs="Arial"/>
          <w:color w:val="292526"/>
        </w:rPr>
        <w:t xml:space="preserve">, </w:t>
      </w:r>
      <w:r w:rsidR="004E6ADB" w:rsidRPr="00217328">
        <w:rPr>
          <w:rFonts w:ascii="Garamond" w:hAnsi="Garamond" w:cs="Arial"/>
          <w:color w:val="292526"/>
        </w:rPr>
        <w:lastRenderedPageBreak/>
        <w:t>especially South Africa</w:t>
      </w:r>
      <w:r w:rsidRPr="00217328">
        <w:rPr>
          <w:rFonts w:ascii="Garamond" w:hAnsi="Garamond" w:cs="Arial"/>
          <w:color w:val="292526"/>
        </w:rPr>
        <w:t xml:space="preserve">. Section 3 </w:t>
      </w:r>
      <w:r w:rsidR="00D1059C" w:rsidRPr="00217328">
        <w:rPr>
          <w:rFonts w:ascii="Garamond" w:hAnsi="Garamond" w:cs="Arial"/>
          <w:color w:val="292526"/>
        </w:rPr>
        <w:t>presents</w:t>
      </w:r>
      <w:r w:rsidRPr="00217328">
        <w:rPr>
          <w:rFonts w:ascii="Garamond" w:hAnsi="Garamond" w:cs="Arial"/>
          <w:color w:val="292526"/>
        </w:rPr>
        <w:t xml:space="preserve"> a </w:t>
      </w:r>
      <w:r w:rsidR="004D46B7" w:rsidRPr="00217328">
        <w:rPr>
          <w:rFonts w:ascii="Garamond" w:hAnsi="Garamond" w:cs="Arial"/>
          <w:color w:val="292526"/>
        </w:rPr>
        <w:t xml:space="preserve">theoretical, empirical and methodological </w:t>
      </w:r>
      <w:r w:rsidRPr="00217328">
        <w:rPr>
          <w:rFonts w:ascii="Garamond" w:hAnsi="Garamond" w:cs="Arial"/>
          <w:color w:val="292526"/>
        </w:rPr>
        <w:t xml:space="preserve">literature </w:t>
      </w:r>
      <w:r w:rsidR="00D1059C" w:rsidRPr="00217328">
        <w:rPr>
          <w:rFonts w:ascii="Garamond" w:hAnsi="Garamond" w:cs="Arial"/>
          <w:color w:val="292526"/>
        </w:rPr>
        <w:t>review</w:t>
      </w:r>
      <w:r w:rsidRPr="00217328">
        <w:rPr>
          <w:rFonts w:ascii="Garamond" w:hAnsi="Garamond" w:cs="Arial"/>
          <w:color w:val="292526"/>
        </w:rPr>
        <w:t xml:space="preserve"> on the relationship between both the level and volatility of exchange rate and FDI inflows. </w:t>
      </w:r>
      <w:r w:rsidR="00DB540C" w:rsidRPr="00217328">
        <w:rPr>
          <w:rFonts w:ascii="Garamond" w:hAnsi="Garamond" w:cs="Arial"/>
          <w:color w:val="292526"/>
        </w:rPr>
        <w:t>Section 4</w:t>
      </w:r>
      <w:r w:rsidR="004D46B7" w:rsidRPr="00217328">
        <w:rPr>
          <w:rFonts w:ascii="Garamond" w:hAnsi="Garamond" w:cs="Arial"/>
          <w:color w:val="292526"/>
        </w:rPr>
        <w:t xml:space="preserve"> reports the empirical findings</w:t>
      </w:r>
      <w:r w:rsidR="00D1059C" w:rsidRPr="00217328">
        <w:rPr>
          <w:rFonts w:ascii="Garamond" w:hAnsi="Garamond" w:cs="Arial"/>
          <w:color w:val="292526"/>
        </w:rPr>
        <w:t>,</w:t>
      </w:r>
      <w:r w:rsidR="004D46B7" w:rsidRPr="00217328">
        <w:rPr>
          <w:rFonts w:ascii="Garamond" w:hAnsi="Garamond" w:cs="Arial"/>
          <w:color w:val="292526"/>
        </w:rPr>
        <w:t xml:space="preserve"> </w:t>
      </w:r>
      <w:r w:rsidR="00067C90" w:rsidRPr="00217328">
        <w:rPr>
          <w:rFonts w:ascii="Garamond" w:hAnsi="Garamond" w:cs="Arial"/>
          <w:color w:val="292526"/>
        </w:rPr>
        <w:t>while section 5</w:t>
      </w:r>
      <w:r w:rsidR="004D46B7" w:rsidRPr="00217328">
        <w:rPr>
          <w:rFonts w:ascii="Garamond" w:hAnsi="Garamond" w:cs="Arial"/>
          <w:color w:val="292526"/>
        </w:rPr>
        <w:t xml:space="preserve"> concludes the paper</w:t>
      </w:r>
      <w:r w:rsidR="00D1059C" w:rsidRPr="00217328">
        <w:rPr>
          <w:rFonts w:ascii="Garamond" w:hAnsi="Garamond" w:cs="Arial"/>
          <w:color w:val="292526"/>
        </w:rPr>
        <w:t>, highlighting some lessons for policy</w:t>
      </w:r>
      <w:r w:rsidR="004D46B7" w:rsidRPr="00217328">
        <w:rPr>
          <w:rFonts w:ascii="Garamond" w:hAnsi="Garamond" w:cs="Arial"/>
          <w:color w:val="292526"/>
        </w:rPr>
        <w:t xml:space="preserve">. </w:t>
      </w:r>
    </w:p>
    <w:p w:rsidR="00070DA1" w:rsidRPr="00217328" w:rsidRDefault="00070DA1" w:rsidP="00432C32">
      <w:pPr>
        <w:spacing w:line="360" w:lineRule="auto"/>
        <w:jc w:val="both"/>
        <w:rPr>
          <w:rFonts w:ascii="Garamond" w:hAnsi="Garamond" w:cs="Arial"/>
          <w:color w:val="292526"/>
        </w:rPr>
      </w:pPr>
    </w:p>
    <w:p w:rsidR="004D46B7" w:rsidRDefault="004D46B7" w:rsidP="00432C32">
      <w:pPr>
        <w:spacing w:line="360" w:lineRule="auto"/>
        <w:jc w:val="both"/>
        <w:rPr>
          <w:rFonts w:ascii="Garamond" w:hAnsi="Garamond" w:cs="Arial"/>
          <w:b/>
          <w:color w:val="292526"/>
        </w:rPr>
      </w:pPr>
      <w:r w:rsidRPr="00217328">
        <w:rPr>
          <w:rFonts w:ascii="Garamond" w:hAnsi="Garamond" w:cs="Arial"/>
          <w:b/>
          <w:color w:val="292526"/>
        </w:rPr>
        <w:t xml:space="preserve">2. </w:t>
      </w:r>
      <w:r w:rsidR="00B154D5">
        <w:rPr>
          <w:rFonts w:ascii="Garamond" w:hAnsi="Garamond" w:cs="Arial"/>
          <w:b/>
          <w:color w:val="292526"/>
        </w:rPr>
        <w:t xml:space="preserve">Stylized Facts on </w:t>
      </w:r>
      <w:r w:rsidR="00D1059C" w:rsidRPr="00217328">
        <w:rPr>
          <w:rFonts w:ascii="Garamond" w:hAnsi="Garamond" w:cs="Arial"/>
          <w:b/>
          <w:color w:val="292526"/>
        </w:rPr>
        <w:t>F</w:t>
      </w:r>
      <w:r w:rsidR="00F967BF">
        <w:rPr>
          <w:rFonts w:ascii="Garamond" w:hAnsi="Garamond" w:cs="Arial"/>
          <w:b/>
          <w:color w:val="292526"/>
        </w:rPr>
        <w:t xml:space="preserve">oreign </w:t>
      </w:r>
      <w:r w:rsidR="00D1059C" w:rsidRPr="00217328">
        <w:rPr>
          <w:rFonts w:ascii="Garamond" w:hAnsi="Garamond" w:cs="Arial"/>
          <w:b/>
          <w:color w:val="292526"/>
        </w:rPr>
        <w:t>D</w:t>
      </w:r>
      <w:r w:rsidR="00F967BF">
        <w:rPr>
          <w:rFonts w:ascii="Garamond" w:hAnsi="Garamond" w:cs="Arial"/>
          <w:b/>
          <w:color w:val="292526"/>
        </w:rPr>
        <w:t xml:space="preserve">irect </w:t>
      </w:r>
      <w:r w:rsidR="00D1059C" w:rsidRPr="00217328">
        <w:rPr>
          <w:rFonts w:ascii="Garamond" w:hAnsi="Garamond" w:cs="Arial"/>
          <w:b/>
          <w:color w:val="292526"/>
        </w:rPr>
        <w:t>I</w:t>
      </w:r>
      <w:r w:rsidR="00F967BF">
        <w:rPr>
          <w:rFonts w:ascii="Garamond" w:hAnsi="Garamond" w:cs="Arial"/>
          <w:b/>
          <w:color w:val="292526"/>
        </w:rPr>
        <w:t>nvestment Inflows</w:t>
      </w:r>
      <w:r w:rsidR="00D1059C" w:rsidRPr="00217328">
        <w:rPr>
          <w:rFonts w:ascii="Garamond" w:hAnsi="Garamond" w:cs="Arial"/>
          <w:b/>
          <w:color w:val="292526"/>
        </w:rPr>
        <w:t xml:space="preserve"> </w:t>
      </w:r>
      <w:r w:rsidR="00A4276F">
        <w:rPr>
          <w:rFonts w:ascii="Garamond" w:hAnsi="Garamond" w:cs="Arial"/>
          <w:b/>
          <w:color w:val="292526"/>
        </w:rPr>
        <w:t xml:space="preserve">and Exchange Rates </w:t>
      </w:r>
      <w:r w:rsidR="00D1059C" w:rsidRPr="00217328">
        <w:rPr>
          <w:rFonts w:ascii="Garamond" w:hAnsi="Garamond" w:cs="Arial"/>
          <w:b/>
          <w:color w:val="292526"/>
        </w:rPr>
        <w:t>in S</w:t>
      </w:r>
      <w:r w:rsidR="00F967BF">
        <w:rPr>
          <w:rFonts w:ascii="Garamond" w:hAnsi="Garamond" w:cs="Arial"/>
          <w:b/>
          <w:color w:val="292526"/>
        </w:rPr>
        <w:t>ub-</w:t>
      </w:r>
      <w:r w:rsidR="00D1059C" w:rsidRPr="00217328">
        <w:rPr>
          <w:rFonts w:ascii="Garamond" w:hAnsi="Garamond" w:cs="Arial"/>
          <w:b/>
          <w:color w:val="292526"/>
        </w:rPr>
        <w:t>S</w:t>
      </w:r>
      <w:r w:rsidR="00F967BF">
        <w:rPr>
          <w:rFonts w:ascii="Garamond" w:hAnsi="Garamond" w:cs="Arial"/>
          <w:b/>
          <w:color w:val="292526"/>
        </w:rPr>
        <w:t xml:space="preserve">aharan </w:t>
      </w:r>
      <w:r w:rsidR="00D1059C" w:rsidRPr="00217328">
        <w:rPr>
          <w:rFonts w:ascii="Garamond" w:hAnsi="Garamond" w:cs="Arial"/>
          <w:b/>
          <w:color w:val="292526"/>
        </w:rPr>
        <w:t>A</w:t>
      </w:r>
      <w:r w:rsidR="00F967BF">
        <w:rPr>
          <w:rFonts w:ascii="Garamond" w:hAnsi="Garamond" w:cs="Arial"/>
          <w:b/>
          <w:color w:val="292526"/>
        </w:rPr>
        <w:t>frica</w:t>
      </w:r>
    </w:p>
    <w:p w:rsidR="00247991" w:rsidRPr="00856EDD" w:rsidRDefault="00B154D5" w:rsidP="00856EDD">
      <w:pPr>
        <w:spacing w:line="360" w:lineRule="auto"/>
        <w:jc w:val="both"/>
        <w:rPr>
          <w:rFonts w:ascii="Garamond" w:hAnsi="Garamond" w:cs="Arial"/>
          <w:b/>
          <w:i/>
          <w:color w:val="292526"/>
        </w:rPr>
      </w:pPr>
      <w:r w:rsidRPr="00B154D5">
        <w:rPr>
          <w:rFonts w:ascii="Garamond" w:hAnsi="Garamond" w:cs="Arial"/>
          <w:b/>
          <w:i/>
          <w:color w:val="292526"/>
        </w:rPr>
        <w:t xml:space="preserve">The margin between </w:t>
      </w:r>
      <w:r>
        <w:rPr>
          <w:rFonts w:ascii="Garamond" w:hAnsi="Garamond" w:cs="Arial"/>
          <w:b/>
          <w:i/>
          <w:color w:val="292526"/>
        </w:rPr>
        <w:t xml:space="preserve">the volume of </w:t>
      </w:r>
      <w:r w:rsidRPr="00B154D5">
        <w:rPr>
          <w:rFonts w:ascii="Garamond" w:hAnsi="Garamond" w:cs="Arial"/>
          <w:b/>
          <w:i/>
          <w:color w:val="292526"/>
        </w:rPr>
        <w:t xml:space="preserve">FDI inflows to SSA and other developing regions is </w:t>
      </w:r>
      <w:r w:rsidR="00B763CB">
        <w:rPr>
          <w:rFonts w:ascii="Garamond" w:hAnsi="Garamond" w:cs="Arial"/>
          <w:b/>
          <w:i/>
          <w:color w:val="292526"/>
        </w:rPr>
        <w:t>wide</w:t>
      </w:r>
      <w:r w:rsidRPr="00B154D5">
        <w:rPr>
          <w:rFonts w:ascii="Garamond" w:hAnsi="Garamond" w:cs="Arial"/>
          <w:b/>
          <w:i/>
          <w:color w:val="292526"/>
        </w:rPr>
        <w:t xml:space="preserve"> and </w:t>
      </w:r>
      <w:r w:rsidRPr="00856EDD">
        <w:rPr>
          <w:rFonts w:ascii="Garamond" w:hAnsi="Garamond" w:cs="Arial"/>
          <w:b/>
          <w:color w:val="292526"/>
        </w:rPr>
        <w:t>widening</w:t>
      </w:r>
      <w:r w:rsidR="00856EDD">
        <w:rPr>
          <w:rFonts w:ascii="Garamond" w:hAnsi="Garamond" w:cs="Arial"/>
          <w:b/>
          <w:color w:val="292526"/>
        </w:rPr>
        <w:t xml:space="preserve">. </w:t>
      </w:r>
      <w:r w:rsidR="00247991" w:rsidRPr="00856EDD">
        <w:rPr>
          <w:rFonts w:ascii="Garamond" w:hAnsi="Garamond" w:cs="Arial"/>
        </w:rPr>
        <w:t>SSA</w:t>
      </w:r>
      <w:r w:rsidR="00247991" w:rsidRPr="00217328">
        <w:rPr>
          <w:rFonts w:ascii="Garamond" w:hAnsi="Garamond" w:cs="Arial"/>
        </w:rPr>
        <w:t xml:space="preserve"> remains the region of the world that attracts the least FDI inflows (see Table 1 and Figure 1). The average global FDI </w:t>
      </w:r>
      <w:r w:rsidR="00F967BF" w:rsidRPr="00217328">
        <w:rPr>
          <w:rFonts w:ascii="Garamond" w:hAnsi="Garamond" w:cs="Arial"/>
        </w:rPr>
        <w:t>inflows during 1970-79 were</w:t>
      </w:r>
      <w:r w:rsidR="00247991" w:rsidRPr="00217328">
        <w:rPr>
          <w:rFonts w:ascii="Garamond" w:hAnsi="Garamond" w:cs="Arial"/>
        </w:rPr>
        <w:t xml:space="preserve"> $2.4 billion. Out of this, </w:t>
      </w:r>
      <w:r w:rsidR="002C3BA1" w:rsidRPr="00217328">
        <w:rPr>
          <w:rFonts w:ascii="Garamond" w:hAnsi="Garamond" w:cs="Arial"/>
        </w:rPr>
        <w:t>Asia,</w:t>
      </w:r>
      <w:r w:rsidR="00247991" w:rsidRPr="00217328">
        <w:rPr>
          <w:rFonts w:ascii="Garamond" w:hAnsi="Garamond" w:cs="Arial"/>
        </w:rPr>
        <w:t xml:space="preserve"> </w:t>
      </w:r>
      <w:smartTag w:uri="urn:schemas-microsoft-com:office:smarttags" w:element="place">
        <w:r w:rsidR="00247991" w:rsidRPr="00217328">
          <w:rPr>
            <w:rFonts w:ascii="Garamond" w:hAnsi="Garamond" w:cs="Arial"/>
          </w:rPr>
          <w:t>Latin America</w:t>
        </w:r>
      </w:smartTag>
      <w:r w:rsidR="002C3BA1" w:rsidRPr="00217328">
        <w:rPr>
          <w:rFonts w:ascii="Garamond" w:hAnsi="Garamond" w:cs="Arial"/>
        </w:rPr>
        <w:t xml:space="preserve">, and SSA </w:t>
      </w:r>
      <w:r w:rsidR="00247991" w:rsidRPr="00217328">
        <w:rPr>
          <w:rFonts w:ascii="Garamond" w:hAnsi="Garamond" w:cs="Arial"/>
        </w:rPr>
        <w:t xml:space="preserve">received an average of </w:t>
      </w:r>
      <w:r w:rsidR="002C3BA1" w:rsidRPr="00217328">
        <w:rPr>
          <w:rFonts w:ascii="Garamond" w:hAnsi="Garamond" w:cs="Arial"/>
        </w:rPr>
        <w:t>$1.9 billion,</w:t>
      </w:r>
      <w:r w:rsidR="00247991" w:rsidRPr="00217328">
        <w:rPr>
          <w:rFonts w:ascii="Garamond" w:hAnsi="Garamond" w:cs="Arial"/>
        </w:rPr>
        <w:t xml:space="preserve"> $2.4 billion</w:t>
      </w:r>
      <w:r w:rsidR="002C3BA1" w:rsidRPr="00217328">
        <w:rPr>
          <w:rFonts w:ascii="Garamond" w:hAnsi="Garamond" w:cs="Arial"/>
        </w:rPr>
        <w:t xml:space="preserve">, and $940 million, </w:t>
      </w:r>
      <w:r w:rsidR="00247991" w:rsidRPr="00217328">
        <w:rPr>
          <w:rFonts w:ascii="Garamond" w:hAnsi="Garamond" w:cs="Arial"/>
        </w:rPr>
        <w:t>respectively. The total average flo</w:t>
      </w:r>
      <w:r w:rsidR="00C138D6" w:rsidRPr="00217328">
        <w:rPr>
          <w:rFonts w:ascii="Garamond" w:hAnsi="Garamond" w:cs="Arial"/>
        </w:rPr>
        <w:t>ws to SSA during this period were</w:t>
      </w:r>
      <w:r w:rsidR="00247991" w:rsidRPr="00217328">
        <w:rPr>
          <w:rFonts w:ascii="Garamond" w:hAnsi="Garamond" w:cs="Arial"/>
        </w:rPr>
        <w:t xml:space="preserve"> less than ha</w:t>
      </w:r>
      <w:r w:rsidR="00FA476F" w:rsidRPr="00217328">
        <w:rPr>
          <w:rFonts w:ascii="Garamond" w:hAnsi="Garamond" w:cs="Arial"/>
        </w:rPr>
        <w:t>lf of what went to each of the</w:t>
      </w:r>
      <w:r w:rsidR="00247991" w:rsidRPr="00217328">
        <w:rPr>
          <w:rFonts w:ascii="Garamond" w:hAnsi="Garamond" w:cs="Arial"/>
        </w:rPr>
        <w:t xml:space="preserve"> other two regions. Although there </w:t>
      </w:r>
      <w:r w:rsidR="00F967BF">
        <w:rPr>
          <w:rFonts w:ascii="Garamond" w:hAnsi="Garamond" w:cs="Arial"/>
        </w:rPr>
        <w:t xml:space="preserve">has been an </w:t>
      </w:r>
      <w:r w:rsidR="00247991" w:rsidRPr="00217328">
        <w:rPr>
          <w:rFonts w:ascii="Garamond" w:hAnsi="Garamond" w:cs="Arial"/>
        </w:rPr>
        <w:t xml:space="preserve">improvement </w:t>
      </w:r>
      <w:r w:rsidR="00F967BF">
        <w:rPr>
          <w:rFonts w:ascii="Garamond" w:hAnsi="Garamond" w:cs="Arial"/>
        </w:rPr>
        <w:t xml:space="preserve">over the years, the margin between FDI inflows to SSA and other developing regions appear to be diverging and increasingly widening as demonstrated by the 2009 figures. </w:t>
      </w:r>
    </w:p>
    <w:p w:rsidR="00F967BF" w:rsidRPr="00217328" w:rsidRDefault="00F967BF" w:rsidP="00432C32">
      <w:pPr>
        <w:pStyle w:val="FootnoteText"/>
        <w:spacing w:line="360" w:lineRule="auto"/>
        <w:jc w:val="both"/>
        <w:rPr>
          <w:rFonts w:ascii="Garamond" w:hAnsi="Garamond"/>
          <w:sz w:val="24"/>
          <w:szCs w:val="24"/>
        </w:rPr>
      </w:pPr>
    </w:p>
    <w:p w:rsidR="00247991" w:rsidRPr="00217328" w:rsidRDefault="00247991" w:rsidP="00432C32">
      <w:pPr>
        <w:spacing w:line="360" w:lineRule="auto"/>
        <w:jc w:val="both"/>
        <w:rPr>
          <w:rFonts w:ascii="Garamond" w:hAnsi="Garamond"/>
          <w:b/>
          <w:color w:val="292526"/>
        </w:rPr>
      </w:pPr>
      <w:r w:rsidRPr="00217328">
        <w:rPr>
          <w:rFonts w:ascii="Garamond" w:hAnsi="Garamond"/>
          <w:b/>
          <w:color w:val="292526"/>
        </w:rPr>
        <w:t xml:space="preserve">Table 1: Distribution of World FDI Inflows by Region, 1970-2005 (Million </w:t>
      </w:r>
      <w:smartTag w:uri="urn:schemas-microsoft-com:office:smarttags" w:element="place">
        <w:smartTag w:uri="urn:schemas-microsoft-com:office:smarttags" w:element="country-region">
          <w:r w:rsidRPr="00217328">
            <w:rPr>
              <w:rFonts w:ascii="Garamond" w:hAnsi="Garamond"/>
              <w:b/>
              <w:color w:val="292526"/>
            </w:rPr>
            <w:t>US</w:t>
          </w:r>
        </w:smartTag>
      </w:smartTag>
      <w:r w:rsidRPr="00217328">
        <w:rPr>
          <w:rFonts w:ascii="Garamond" w:hAnsi="Garamond"/>
          <w:b/>
          <w:color w:val="292526"/>
        </w:rPr>
        <w:t>$).</w:t>
      </w:r>
    </w:p>
    <w:tbl>
      <w:tblPr>
        <w:tblW w:w="86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800"/>
        <w:gridCol w:w="1287"/>
        <w:gridCol w:w="1080"/>
        <w:gridCol w:w="1044"/>
        <w:gridCol w:w="1134"/>
        <w:gridCol w:w="2331"/>
      </w:tblGrid>
      <w:tr w:rsidR="00247991" w:rsidRPr="00217328" w:rsidTr="00B763CB">
        <w:trPr>
          <w:trHeight w:val="255"/>
        </w:trPr>
        <w:tc>
          <w:tcPr>
            <w:tcW w:w="1800"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Year/ Region</w:t>
            </w:r>
          </w:p>
        </w:tc>
        <w:tc>
          <w:tcPr>
            <w:tcW w:w="1287"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World</w:t>
            </w:r>
          </w:p>
        </w:tc>
        <w:tc>
          <w:tcPr>
            <w:tcW w:w="1080" w:type="dxa"/>
            <w:shd w:val="clear" w:color="auto" w:fill="auto"/>
            <w:noWrap/>
          </w:tcPr>
          <w:p w:rsidR="00247991" w:rsidRPr="00217328" w:rsidRDefault="00247991" w:rsidP="007A1404">
            <w:pPr>
              <w:spacing w:line="360" w:lineRule="auto"/>
              <w:jc w:val="both"/>
              <w:rPr>
                <w:rFonts w:ascii="Garamond" w:hAnsi="Garamond"/>
                <w:b/>
              </w:rPr>
            </w:pPr>
            <w:smartTag w:uri="urn:schemas-microsoft-com:office:smarttags" w:element="place">
              <w:r w:rsidRPr="00217328">
                <w:rPr>
                  <w:rFonts w:ascii="Garamond" w:hAnsi="Garamond"/>
                  <w:b/>
                </w:rPr>
                <w:t>Africa</w:t>
              </w:r>
            </w:smartTag>
          </w:p>
        </w:tc>
        <w:tc>
          <w:tcPr>
            <w:tcW w:w="1044"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SSA</w:t>
            </w:r>
          </w:p>
        </w:tc>
        <w:tc>
          <w:tcPr>
            <w:tcW w:w="1134" w:type="dxa"/>
            <w:shd w:val="clear" w:color="auto" w:fill="auto"/>
            <w:noWrap/>
          </w:tcPr>
          <w:p w:rsidR="00247991" w:rsidRPr="00217328" w:rsidRDefault="00247991" w:rsidP="007A1404">
            <w:pPr>
              <w:spacing w:line="360" w:lineRule="auto"/>
              <w:jc w:val="both"/>
              <w:rPr>
                <w:rFonts w:ascii="Garamond" w:hAnsi="Garamond"/>
                <w:b/>
              </w:rPr>
            </w:pPr>
            <w:smartTag w:uri="urn:schemas-microsoft-com:office:smarttags" w:element="place">
              <w:r w:rsidRPr="00217328">
                <w:rPr>
                  <w:rFonts w:ascii="Garamond" w:hAnsi="Garamond"/>
                  <w:b/>
                </w:rPr>
                <w:t>Asia</w:t>
              </w:r>
            </w:smartTag>
          </w:p>
        </w:tc>
        <w:tc>
          <w:tcPr>
            <w:tcW w:w="2331"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Latin America</w:t>
            </w:r>
            <w:r w:rsidR="00AC312B" w:rsidRPr="00217328">
              <w:rPr>
                <w:rFonts w:ascii="Garamond" w:hAnsi="Garamond"/>
                <w:b/>
              </w:rPr>
              <w:t xml:space="preserve"> and </w:t>
            </w:r>
            <w:r w:rsidR="00FC4E96" w:rsidRPr="00217328">
              <w:rPr>
                <w:rFonts w:ascii="Garamond" w:hAnsi="Garamond"/>
                <w:b/>
              </w:rPr>
              <w:t>Caribbean</w:t>
            </w:r>
          </w:p>
        </w:tc>
      </w:tr>
      <w:tr w:rsidR="00247991" w:rsidRPr="00217328" w:rsidTr="00B763CB">
        <w:trPr>
          <w:trHeight w:val="255"/>
        </w:trPr>
        <w:tc>
          <w:tcPr>
            <w:tcW w:w="1800"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1970-1979</w:t>
            </w:r>
          </w:p>
        </w:tc>
        <w:tc>
          <w:tcPr>
            <w:tcW w:w="1287"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24 365</w:t>
            </w:r>
          </w:p>
        </w:tc>
        <w:tc>
          <w:tcPr>
            <w:tcW w:w="1080"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1 124</w:t>
            </w:r>
          </w:p>
        </w:tc>
        <w:tc>
          <w:tcPr>
            <w:tcW w:w="1044"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940</w:t>
            </w:r>
          </w:p>
        </w:tc>
        <w:tc>
          <w:tcPr>
            <w:tcW w:w="1134"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1 902</w:t>
            </w:r>
          </w:p>
        </w:tc>
        <w:tc>
          <w:tcPr>
            <w:tcW w:w="2331"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2 419</w:t>
            </w:r>
          </w:p>
        </w:tc>
      </w:tr>
      <w:tr w:rsidR="00247991" w:rsidRPr="00217328" w:rsidTr="00B763CB">
        <w:trPr>
          <w:trHeight w:val="255"/>
        </w:trPr>
        <w:tc>
          <w:tcPr>
            <w:tcW w:w="1800"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1980-1989</w:t>
            </w:r>
          </w:p>
        </w:tc>
        <w:tc>
          <w:tcPr>
            <w:tcW w:w="1287"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93 878</w:t>
            </w:r>
          </w:p>
        </w:tc>
        <w:tc>
          <w:tcPr>
            <w:tcW w:w="1080"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2 201</w:t>
            </w:r>
          </w:p>
        </w:tc>
        <w:tc>
          <w:tcPr>
            <w:tcW w:w="1044"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1 307</w:t>
            </w:r>
          </w:p>
        </w:tc>
        <w:tc>
          <w:tcPr>
            <w:tcW w:w="1134"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11 677</w:t>
            </w:r>
          </w:p>
        </w:tc>
        <w:tc>
          <w:tcPr>
            <w:tcW w:w="2331"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6 143</w:t>
            </w:r>
          </w:p>
        </w:tc>
      </w:tr>
      <w:tr w:rsidR="00247991" w:rsidRPr="00217328" w:rsidTr="00B763CB">
        <w:trPr>
          <w:trHeight w:val="255"/>
        </w:trPr>
        <w:tc>
          <w:tcPr>
            <w:tcW w:w="1800"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1990-1999</w:t>
            </w:r>
          </w:p>
        </w:tc>
        <w:tc>
          <w:tcPr>
            <w:tcW w:w="1287"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403 802</w:t>
            </w:r>
          </w:p>
        </w:tc>
        <w:tc>
          <w:tcPr>
            <w:tcW w:w="1080"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6 864</w:t>
            </w:r>
          </w:p>
        </w:tc>
        <w:tc>
          <w:tcPr>
            <w:tcW w:w="1044"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4 585</w:t>
            </w:r>
          </w:p>
        </w:tc>
        <w:tc>
          <w:tcPr>
            <w:tcW w:w="1134" w:type="dxa"/>
            <w:shd w:val="clear" w:color="auto" w:fill="auto"/>
            <w:noWrap/>
            <w:vAlign w:val="bottom"/>
          </w:tcPr>
          <w:p w:rsidR="00247991" w:rsidRPr="00217328" w:rsidRDefault="00247991" w:rsidP="007A1404">
            <w:pPr>
              <w:spacing w:line="360" w:lineRule="auto"/>
              <w:jc w:val="both"/>
              <w:rPr>
                <w:rFonts w:ascii="Garamond" w:hAnsi="Garamond" w:cs="Arial"/>
              </w:rPr>
            </w:pPr>
            <w:r w:rsidRPr="00217328">
              <w:rPr>
                <w:rFonts w:ascii="Garamond" w:hAnsi="Garamond" w:cs="Arial"/>
              </w:rPr>
              <w:t>69 062</w:t>
            </w:r>
          </w:p>
        </w:tc>
        <w:tc>
          <w:tcPr>
            <w:tcW w:w="2331" w:type="dxa"/>
            <w:shd w:val="clear" w:color="auto" w:fill="auto"/>
            <w:noWrap/>
          </w:tcPr>
          <w:p w:rsidR="00247991" w:rsidRPr="00217328" w:rsidRDefault="00247991" w:rsidP="007A1404">
            <w:pPr>
              <w:spacing w:line="360" w:lineRule="auto"/>
              <w:jc w:val="both"/>
              <w:rPr>
                <w:rFonts w:ascii="Garamond" w:hAnsi="Garamond" w:cs="Arial"/>
              </w:rPr>
            </w:pPr>
            <w:r w:rsidRPr="00217328">
              <w:rPr>
                <w:rFonts w:ascii="Garamond" w:hAnsi="Garamond" w:cs="Arial"/>
              </w:rPr>
              <w:t>42 050</w:t>
            </w:r>
          </w:p>
        </w:tc>
      </w:tr>
      <w:tr w:rsidR="00247991" w:rsidRPr="00217328" w:rsidTr="00B763CB">
        <w:trPr>
          <w:trHeight w:val="255"/>
        </w:trPr>
        <w:tc>
          <w:tcPr>
            <w:tcW w:w="1800"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2000</w:t>
            </w:r>
          </w:p>
        </w:tc>
        <w:tc>
          <w:tcPr>
            <w:tcW w:w="1287"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 xml:space="preserve">1 </w:t>
            </w:r>
            <w:r w:rsidR="004E2260" w:rsidRPr="00217328">
              <w:rPr>
                <w:rFonts w:ascii="Garamond" w:hAnsi="Garamond"/>
              </w:rPr>
              <w:t>398 183</w:t>
            </w:r>
          </w:p>
        </w:tc>
        <w:tc>
          <w:tcPr>
            <w:tcW w:w="1080"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9 6</w:t>
            </w:r>
            <w:r w:rsidR="00AD5512" w:rsidRPr="00217328">
              <w:rPr>
                <w:rFonts w:ascii="Garamond" w:hAnsi="Garamond"/>
              </w:rPr>
              <w:t>70</w:t>
            </w:r>
          </w:p>
        </w:tc>
        <w:tc>
          <w:tcPr>
            <w:tcW w:w="1044"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 xml:space="preserve">6 </w:t>
            </w:r>
            <w:r w:rsidR="00440B40" w:rsidRPr="00217328">
              <w:rPr>
                <w:rFonts w:ascii="Garamond" w:hAnsi="Garamond"/>
              </w:rPr>
              <w:t>655</w:t>
            </w:r>
          </w:p>
        </w:tc>
        <w:tc>
          <w:tcPr>
            <w:tcW w:w="1134" w:type="dxa"/>
            <w:shd w:val="clear" w:color="auto" w:fill="auto"/>
            <w:noWrap/>
          </w:tcPr>
          <w:p w:rsidR="00247991" w:rsidRPr="00217328" w:rsidRDefault="00AD5512" w:rsidP="007A1404">
            <w:pPr>
              <w:spacing w:line="360" w:lineRule="auto"/>
              <w:jc w:val="both"/>
              <w:rPr>
                <w:rFonts w:ascii="Garamond" w:hAnsi="Garamond"/>
              </w:rPr>
            </w:pPr>
            <w:r w:rsidRPr="00217328">
              <w:rPr>
                <w:rFonts w:ascii="Garamond" w:hAnsi="Garamond"/>
              </w:rPr>
              <w:t>148 396</w:t>
            </w:r>
          </w:p>
        </w:tc>
        <w:tc>
          <w:tcPr>
            <w:tcW w:w="2331" w:type="dxa"/>
            <w:shd w:val="clear" w:color="auto" w:fill="auto"/>
            <w:noWrap/>
            <w:vAlign w:val="bottom"/>
          </w:tcPr>
          <w:p w:rsidR="00247991" w:rsidRPr="00217328" w:rsidRDefault="00AD5512" w:rsidP="007A1404">
            <w:pPr>
              <w:spacing w:line="360" w:lineRule="auto"/>
              <w:jc w:val="both"/>
              <w:rPr>
                <w:rFonts w:ascii="Garamond" w:hAnsi="Garamond" w:cs="Arial"/>
              </w:rPr>
            </w:pPr>
            <w:r w:rsidRPr="00217328">
              <w:rPr>
                <w:rFonts w:ascii="Garamond" w:hAnsi="Garamond" w:cs="Arial"/>
              </w:rPr>
              <w:t>98 267</w:t>
            </w:r>
          </w:p>
        </w:tc>
      </w:tr>
      <w:tr w:rsidR="00247991" w:rsidRPr="00217328" w:rsidTr="00B763CB">
        <w:trPr>
          <w:trHeight w:val="255"/>
        </w:trPr>
        <w:tc>
          <w:tcPr>
            <w:tcW w:w="1800"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2001</w:t>
            </w:r>
          </w:p>
        </w:tc>
        <w:tc>
          <w:tcPr>
            <w:tcW w:w="1287" w:type="dxa"/>
            <w:shd w:val="clear" w:color="auto" w:fill="auto"/>
            <w:noWrap/>
          </w:tcPr>
          <w:p w:rsidR="00247991" w:rsidRPr="00217328" w:rsidRDefault="004E2260" w:rsidP="007A1404">
            <w:pPr>
              <w:spacing w:line="360" w:lineRule="auto"/>
              <w:jc w:val="both"/>
              <w:rPr>
                <w:rFonts w:ascii="Garamond" w:hAnsi="Garamond"/>
              </w:rPr>
            </w:pPr>
            <w:r w:rsidRPr="00217328">
              <w:rPr>
                <w:rFonts w:ascii="Garamond" w:hAnsi="Garamond"/>
              </w:rPr>
              <w:t>824 445</w:t>
            </w:r>
          </w:p>
        </w:tc>
        <w:tc>
          <w:tcPr>
            <w:tcW w:w="1080" w:type="dxa"/>
            <w:shd w:val="clear" w:color="auto" w:fill="auto"/>
            <w:noWrap/>
          </w:tcPr>
          <w:p w:rsidR="00247991" w:rsidRPr="00217328" w:rsidRDefault="00247991" w:rsidP="007A1404">
            <w:pPr>
              <w:spacing w:line="360" w:lineRule="auto"/>
              <w:jc w:val="both"/>
              <w:rPr>
                <w:rFonts w:ascii="Garamond" w:hAnsi="Garamond"/>
              </w:rPr>
            </w:pPr>
            <w:r w:rsidRPr="00217328">
              <w:rPr>
                <w:rFonts w:ascii="Garamond" w:hAnsi="Garamond"/>
              </w:rPr>
              <w:t xml:space="preserve">19 </w:t>
            </w:r>
            <w:r w:rsidR="00AD5512" w:rsidRPr="00217328">
              <w:rPr>
                <w:rFonts w:ascii="Garamond" w:hAnsi="Garamond"/>
              </w:rPr>
              <w:t>904</w:t>
            </w:r>
          </w:p>
        </w:tc>
        <w:tc>
          <w:tcPr>
            <w:tcW w:w="1044" w:type="dxa"/>
            <w:shd w:val="clear" w:color="auto" w:fill="auto"/>
            <w:noWrap/>
          </w:tcPr>
          <w:p w:rsidR="00247991" w:rsidRPr="00217328" w:rsidRDefault="00440B40" w:rsidP="007A1404">
            <w:pPr>
              <w:spacing w:line="360" w:lineRule="auto"/>
              <w:jc w:val="both"/>
              <w:rPr>
                <w:rFonts w:ascii="Garamond" w:hAnsi="Garamond"/>
              </w:rPr>
            </w:pPr>
            <w:r w:rsidRPr="00217328">
              <w:rPr>
                <w:rFonts w:ascii="Garamond" w:hAnsi="Garamond"/>
              </w:rPr>
              <w:t>15 017</w:t>
            </w:r>
          </w:p>
        </w:tc>
        <w:tc>
          <w:tcPr>
            <w:tcW w:w="1134" w:type="dxa"/>
            <w:shd w:val="clear" w:color="auto" w:fill="auto"/>
            <w:noWrap/>
          </w:tcPr>
          <w:p w:rsidR="00247991" w:rsidRPr="00217328" w:rsidRDefault="00AD5512" w:rsidP="007A1404">
            <w:pPr>
              <w:spacing w:line="360" w:lineRule="auto"/>
              <w:jc w:val="both"/>
              <w:rPr>
                <w:rFonts w:ascii="Garamond" w:hAnsi="Garamond"/>
              </w:rPr>
            </w:pPr>
            <w:r w:rsidRPr="00217328">
              <w:rPr>
                <w:rFonts w:ascii="Garamond" w:hAnsi="Garamond"/>
              </w:rPr>
              <w:t>113 437</w:t>
            </w:r>
          </w:p>
        </w:tc>
        <w:tc>
          <w:tcPr>
            <w:tcW w:w="2331" w:type="dxa"/>
            <w:shd w:val="clear" w:color="auto" w:fill="auto"/>
            <w:noWrap/>
            <w:vAlign w:val="bottom"/>
          </w:tcPr>
          <w:p w:rsidR="00247991" w:rsidRPr="00217328" w:rsidRDefault="00AD5512" w:rsidP="007A1404">
            <w:pPr>
              <w:spacing w:line="360" w:lineRule="auto"/>
              <w:jc w:val="both"/>
              <w:rPr>
                <w:rFonts w:ascii="Garamond" w:hAnsi="Garamond" w:cs="Arial"/>
              </w:rPr>
            </w:pPr>
            <w:r w:rsidRPr="00217328">
              <w:rPr>
                <w:rFonts w:ascii="Garamond" w:hAnsi="Garamond" w:cs="Arial"/>
              </w:rPr>
              <w:t>80 923</w:t>
            </w:r>
          </w:p>
        </w:tc>
      </w:tr>
      <w:tr w:rsidR="00247991" w:rsidRPr="00217328" w:rsidTr="00B763CB">
        <w:trPr>
          <w:trHeight w:val="255"/>
        </w:trPr>
        <w:tc>
          <w:tcPr>
            <w:tcW w:w="1800"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2002</w:t>
            </w:r>
          </w:p>
        </w:tc>
        <w:tc>
          <w:tcPr>
            <w:tcW w:w="1287" w:type="dxa"/>
            <w:shd w:val="clear" w:color="auto" w:fill="auto"/>
            <w:noWrap/>
          </w:tcPr>
          <w:p w:rsidR="00247991" w:rsidRPr="00217328" w:rsidRDefault="004E2260" w:rsidP="007A1404">
            <w:pPr>
              <w:spacing w:line="360" w:lineRule="auto"/>
              <w:jc w:val="both"/>
              <w:rPr>
                <w:rFonts w:ascii="Garamond" w:hAnsi="Garamond"/>
              </w:rPr>
            </w:pPr>
            <w:r w:rsidRPr="00217328">
              <w:rPr>
                <w:rFonts w:ascii="Garamond" w:hAnsi="Garamond"/>
              </w:rPr>
              <w:t>625 168</w:t>
            </w:r>
          </w:p>
        </w:tc>
        <w:tc>
          <w:tcPr>
            <w:tcW w:w="1080" w:type="dxa"/>
            <w:shd w:val="clear" w:color="auto" w:fill="auto"/>
            <w:noWrap/>
          </w:tcPr>
          <w:p w:rsidR="00247991" w:rsidRPr="00217328" w:rsidRDefault="00AD5512" w:rsidP="007A1404">
            <w:pPr>
              <w:spacing w:line="360" w:lineRule="auto"/>
              <w:jc w:val="both"/>
              <w:rPr>
                <w:rFonts w:ascii="Garamond" w:hAnsi="Garamond"/>
              </w:rPr>
            </w:pPr>
            <w:r w:rsidRPr="00217328">
              <w:rPr>
                <w:rFonts w:ascii="Garamond" w:hAnsi="Garamond"/>
              </w:rPr>
              <w:t>14 592</w:t>
            </w:r>
          </w:p>
        </w:tc>
        <w:tc>
          <w:tcPr>
            <w:tcW w:w="1044" w:type="dxa"/>
            <w:shd w:val="clear" w:color="auto" w:fill="auto"/>
            <w:noWrap/>
          </w:tcPr>
          <w:p w:rsidR="00247991" w:rsidRPr="00217328" w:rsidRDefault="00440B40" w:rsidP="007A1404">
            <w:pPr>
              <w:spacing w:line="360" w:lineRule="auto"/>
              <w:jc w:val="both"/>
              <w:rPr>
                <w:rFonts w:ascii="Garamond" w:hAnsi="Garamond"/>
              </w:rPr>
            </w:pPr>
            <w:r w:rsidRPr="00217328">
              <w:rPr>
                <w:rFonts w:ascii="Garamond" w:hAnsi="Garamond"/>
              </w:rPr>
              <w:t>11 432</w:t>
            </w:r>
          </w:p>
        </w:tc>
        <w:tc>
          <w:tcPr>
            <w:tcW w:w="1134" w:type="dxa"/>
            <w:shd w:val="clear" w:color="auto" w:fill="auto"/>
            <w:noWrap/>
          </w:tcPr>
          <w:p w:rsidR="00247991" w:rsidRPr="00217328" w:rsidRDefault="00AD5512" w:rsidP="007A1404">
            <w:pPr>
              <w:spacing w:line="360" w:lineRule="auto"/>
              <w:jc w:val="both"/>
              <w:rPr>
                <w:rFonts w:ascii="Garamond" w:hAnsi="Garamond"/>
              </w:rPr>
            </w:pPr>
            <w:r w:rsidRPr="00217328">
              <w:rPr>
                <w:rFonts w:ascii="Garamond" w:hAnsi="Garamond"/>
              </w:rPr>
              <w:t>98 505</w:t>
            </w:r>
          </w:p>
        </w:tc>
        <w:tc>
          <w:tcPr>
            <w:tcW w:w="2331" w:type="dxa"/>
            <w:shd w:val="clear" w:color="auto" w:fill="auto"/>
            <w:noWrap/>
            <w:vAlign w:val="bottom"/>
          </w:tcPr>
          <w:p w:rsidR="00247991" w:rsidRPr="00217328" w:rsidRDefault="00AD5512" w:rsidP="007A1404">
            <w:pPr>
              <w:spacing w:line="360" w:lineRule="auto"/>
              <w:jc w:val="both"/>
              <w:rPr>
                <w:rFonts w:ascii="Garamond" w:hAnsi="Garamond" w:cs="Arial"/>
              </w:rPr>
            </w:pPr>
            <w:r w:rsidRPr="00217328">
              <w:rPr>
                <w:rFonts w:ascii="Garamond" w:hAnsi="Garamond" w:cs="Arial"/>
              </w:rPr>
              <w:t>57 731</w:t>
            </w:r>
          </w:p>
        </w:tc>
      </w:tr>
      <w:tr w:rsidR="00247991" w:rsidRPr="00217328" w:rsidTr="00B763CB">
        <w:trPr>
          <w:trHeight w:val="255"/>
        </w:trPr>
        <w:tc>
          <w:tcPr>
            <w:tcW w:w="1800"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2003</w:t>
            </w:r>
          </w:p>
        </w:tc>
        <w:tc>
          <w:tcPr>
            <w:tcW w:w="1287" w:type="dxa"/>
            <w:shd w:val="clear" w:color="auto" w:fill="auto"/>
            <w:noWrap/>
          </w:tcPr>
          <w:p w:rsidR="00247991" w:rsidRPr="00217328" w:rsidRDefault="004E2260" w:rsidP="007A1404">
            <w:pPr>
              <w:spacing w:line="360" w:lineRule="auto"/>
              <w:jc w:val="both"/>
              <w:rPr>
                <w:rFonts w:ascii="Garamond" w:hAnsi="Garamond"/>
              </w:rPr>
            </w:pPr>
            <w:r w:rsidRPr="00217328">
              <w:rPr>
                <w:rFonts w:ascii="Garamond" w:hAnsi="Garamond"/>
              </w:rPr>
              <w:t>562 056</w:t>
            </w:r>
          </w:p>
        </w:tc>
        <w:tc>
          <w:tcPr>
            <w:tcW w:w="1080" w:type="dxa"/>
            <w:shd w:val="clear" w:color="auto" w:fill="auto"/>
            <w:noWrap/>
          </w:tcPr>
          <w:p w:rsidR="00247991" w:rsidRPr="00217328" w:rsidRDefault="00AD5512" w:rsidP="007A1404">
            <w:pPr>
              <w:spacing w:line="360" w:lineRule="auto"/>
              <w:jc w:val="both"/>
              <w:rPr>
                <w:rFonts w:ascii="Garamond" w:hAnsi="Garamond"/>
              </w:rPr>
            </w:pPr>
            <w:r w:rsidRPr="00217328">
              <w:rPr>
                <w:rFonts w:ascii="Garamond" w:hAnsi="Garamond"/>
              </w:rPr>
              <w:t>18 719</w:t>
            </w:r>
          </w:p>
        </w:tc>
        <w:tc>
          <w:tcPr>
            <w:tcW w:w="1044" w:type="dxa"/>
            <w:shd w:val="clear" w:color="auto" w:fill="auto"/>
            <w:noWrap/>
          </w:tcPr>
          <w:p w:rsidR="00247991" w:rsidRPr="00217328" w:rsidRDefault="00440B40" w:rsidP="007A1404">
            <w:pPr>
              <w:spacing w:line="360" w:lineRule="auto"/>
              <w:jc w:val="both"/>
              <w:rPr>
                <w:rFonts w:ascii="Garamond" w:hAnsi="Garamond"/>
              </w:rPr>
            </w:pPr>
            <w:r w:rsidRPr="00217328">
              <w:rPr>
                <w:rFonts w:ascii="Garamond" w:hAnsi="Garamond"/>
              </w:rPr>
              <w:t>14 806</w:t>
            </w:r>
          </w:p>
        </w:tc>
        <w:tc>
          <w:tcPr>
            <w:tcW w:w="1134" w:type="dxa"/>
            <w:shd w:val="clear" w:color="auto" w:fill="auto"/>
            <w:noWrap/>
          </w:tcPr>
          <w:p w:rsidR="00247991" w:rsidRPr="00217328" w:rsidRDefault="00440B40" w:rsidP="007A1404">
            <w:pPr>
              <w:spacing w:line="360" w:lineRule="auto"/>
              <w:jc w:val="both"/>
              <w:rPr>
                <w:rFonts w:ascii="Garamond" w:hAnsi="Garamond"/>
              </w:rPr>
            </w:pPr>
            <w:r w:rsidRPr="00217328">
              <w:rPr>
                <w:rFonts w:ascii="Garamond" w:hAnsi="Garamond"/>
              </w:rPr>
              <w:t>115 148</w:t>
            </w:r>
          </w:p>
        </w:tc>
        <w:tc>
          <w:tcPr>
            <w:tcW w:w="2331" w:type="dxa"/>
            <w:shd w:val="clear" w:color="auto" w:fill="auto"/>
            <w:noWrap/>
            <w:vAlign w:val="bottom"/>
          </w:tcPr>
          <w:p w:rsidR="00247991" w:rsidRPr="00217328" w:rsidRDefault="00AD5512" w:rsidP="007A1404">
            <w:pPr>
              <w:spacing w:line="360" w:lineRule="auto"/>
              <w:jc w:val="both"/>
              <w:rPr>
                <w:rFonts w:ascii="Garamond" w:hAnsi="Garamond" w:cs="Arial"/>
              </w:rPr>
            </w:pPr>
            <w:r w:rsidRPr="00217328">
              <w:rPr>
                <w:rFonts w:ascii="Garamond" w:hAnsi="Garamond" w:cs="Arial"/>
              </w:rPr>
              <w:t>45 885</w:t>
            </w:r>
          </w:p>
        </w:tc>
      </w:tr>
      <w:tr w:rsidR="00247991" w:rsidRPr="00217328" w:rsidTr="00B763CB">
        <w:trPr>
          <w:trHeight w:val="255"/>
        </w:trPr>
        <w:tc>
          <w:tcPr>
            <w:tcW w:w="1800"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2004</w:t>
            </w:r>
          </w:p>
        </w:tc>
        <w:tc>
          <w:tcPr>
            <w:tcW w:w="1287" w:type="dxa"/>
            <w:shd w:val="clear" w:color="auto" w:fill="auto"/>
            <w:noWrap/>
          </w:tcPr>
          <w:p w:rsidR="00247991" w:rsidRPr="00217328" w:rsidRDefault="004E2260" w:rsidP="007A1404">
            <w:pPr>
              <w:spacing w:line="360" w:lineRule="auto"/>
              <w:jc w:val="both"/>
              <w:rPr>
                <w:rFonts w:ascii="Garamond" w:hAnsi="Garamond"/>
              </w:rPr>
            </w:pPr>
            <w:r w:rsidRPr="00217328">
              <w:rPr>
                <w:rFonts w:ascii="Garamond" w:hAnsi="Garamond"/>
              </w:rPr>
              <w:t>717 695</w:t>
            </w:r>
          </w:p>
        </w:tc>
        <w:tc>
          <w:tcPr>
            <w:tcW w:w="1080" w:type="dxa"/>
            <w:shd w:val="clear" w:color="auto" w:fill="auto"/>
            <w:noWrap/>
          </w:tcPr>
          <w:p w:rsidR="00247991" w:rsidRPr="00217328" w:rsidRDefault="00AD5512" w:rsidP="007A1404">
            <w:pPr>
              <w:spacing w:line="360" w:lineRule="auto"/>
              <w:jc w:val="both"/>
              <w:rPr>
                <w:rFonts w:ascii="Garamond" w:hAnsi="Garamond"/>
              </w:rPr>
            </w:pPr>
            <w:r w:rsidRPr="00217328">
              <w:rPr>
                <w:rFonts w:ascii="Garamond" w:hAnsi="Garamond"/>
              </w:rPr>
              <w:t>18 019</w:t>
            </w:r>
          </w:p>
        </w:tc>
        <w:tc>
          <w:tcPr>
            <w:tcW w:w="1044" w:type="dxa"/>
            <w:shd w:val="clear" w:color="auto" w:fill="auto"/>
            <w:noWrap/>
          </w:tcPr>
          <w:p w:rsidR="00247991" w:rsidRPr="00217328" w:rsidRDefault="00440B40" w:rsidP="007A1404">
            <w:pPr>
              <w:spacing w:line="360" w:lineRule="auto"/>
              <w:jc w:val="both"/>
              <w:rPr>
                <w:rFonts w:ascii="Garamond" w:hAnsi="Garamond"/>
              </w:rPr>
            </w:pPr>
            <w:r w:rsidRPr="00217328">
              <w:rPr>
                <w:rFonts w:ascii="Garamond" w:hAnsi="Garamond"/>
              </w:rPr>
              <w:t>13 089</w:t>
            </w:r>
          </w:p>
        </w:tc>
        <w:tc>
          <w:tcPr>
            <w:tcW w:w="1134" w:type="dxa"/>
            <w:shd w:val="clear" w:color="auto" w:fill="auto"/>
            <w:noWrap/>
          </w:tcPr>
          <w:p w:rsidR="00247991" w:rsidRPr="00217328" w:rsidRDefault="00440B40" w:rsidP="007A1404">
            <w:pPr>
              <w:spacing w:line="360" w:lineRule="auto"/>
              <w:jc w:val="both"/>
              <w:rPr>
                <w:rFonts w:ascii="Garamond" w:hAnsi="Garamond"/>
              </w:rPr>
            </w:pPr>
            <w:r w:rsidRPr="00217328">
              <w:rPr>
                <w:rFonts w:ascii="Garamond" w:hAnsi="Garamond"/>
              </w:rPr>
              <w:t>170 294</w:t>
            </w:r>
          </w:p>
        </w:tc>
        <w:tc>
          <w:tcPr>
            <w:tcW w:w="2331" w:type="dxa"/>
            <w:shd w:val="clear" w:color="auto" w:fill="auto"/>
            <w:noWrap/>
            <w:vAlign w:val="bottom"/>
          </w:tcPr>
          <w:p w:rsidR="00247991" w:rsidRPr="00217328" w:rsidRDefault="00AD5512" w:rsidP="007A1404">
            <w:pPr>
              <w:spacing w:line="360" w:lineRule="auto"/>
              <w:jc w:val="both"/>
              <w:rPr>
                <w:rFonts w:ascii="Garamond" w:hAnsi="Garamond" w:cs="Arial"/>
              </w:rPr>
            </w:pPr>
            <w:r w:rsidRPr="00217328">
              <w:rPr>
                <w:rFonts w:ascii="Garamond" w:hAnsi="Garamond" w:cs="Arial"/>
              </w:rPr>
              <w:t>94 419</w:t>
            </w:r>
          </w:p>
        </w:tc>
      </w:tr>
      <w:tr w:rsidR="00247991" w:rsidRPr="00217328" w:rsidTr="00B763CB">
        <w:trPr>
          <w:trHeight w:val="255"/>
        </w:trPr>
        <w:tc>
          <w:tcPr>
            <w:tcW w:w="1800"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2005</w:t>
            </w:r>
          </w:p>
        </w:tc>
        <w:tc>
          <w:tcPr>
            <w:tcW w:w="1287" w:type="dxa"/>
            <w:shd w:val="clear" w:color="auto" w:fill="auto"/>
            <w:noWrap/>
          </w:tcPr>
          <w:p w:rsidR="00247991" w:rsidRPr="00217328" w:rsidRDefault="004E2260" w:rsidP="007A1404">
            <w:pPr>
              <w:spacing w:line="360" w:lineRule="auto"/>
              <w:jc w:val="both"/>
              <w:rPr>
                <w:rFonts w:ascii="Garamond" w:hAnsi="Garamond"/>
              </w:rPr>
            </w:pPr>
            <w:r w:rsidRPr="00217328">
              <w:rPr>
                <w:rFonts w:ascii="Garamond" w:hAnsi="Garamond"/>
              </w:rPr>
              <w:t>958 697</w:t>
            </w:r>
          </w:p>
        </w:tc>
        <w:tc>
          <w:tcPr>
            <w:tcW w:w="1080" w:type="dxa"/>
            <w:shd w:val="clear" w:color="auto" w:fill="auto"/>
            <w:noWrap/>
          </w:tcPr>
          <w:p w:rsidR="00247991" w:rsidRPr="00217328" w:rsidRDefault="00AD5512" w:rsidP="007A1404">
            <w:pPr>
              <w:spacing w:line="360" w:lineRule="auto"/>
              <w:jc w:val="both"/>
              <w:rPr>
                <w:rFonts w:ascii="Garamond" w:hAnsi="Garamond"/>
              </w:rPr>
            </w:pPr>
            <w:r w:rsidRPr="00217328">
              <w:rPr>
                <w:rFonts w:ascii="Garamond" w:hAnsi="Garamond"/>
              </w:rPr>
              <w:t>29  459</w:t>
            </w:r>
          </w:p>
        </w:tc>
        <w:tc>
          <w:tcPr>
            <w:tcW w:w="1044" w:type="dxa"/>
            <w:shd w:val="clear" w:color="auto" w:fill="auto"/>
            <w:noWrap/>
          </w:tcPr>
          <w:p w:rsidR="00247991" w:rsidRPr="00217328" w:rsidRDefault="00440B40" w:rsidP="007A1404">
            <w:pPr>
              <w:spacing w:line="360" w:lineRule="auto"/>
              <w:jc w:val="both"/>
              <w:rPr>
                <w:rFonts w:ascii="Garamond" w:hAnsi="Garamond"/>
              </w:rPr>
            </w:pPr>
            <w:r w:rsidRPr="00217328">
              <w:rPr>
                <w:rFonts w:ascii="Garamond" w:hAnsi="Garamond"/>
              </w:rPr>
              <w:t>19 528</w:t>
            </w:r>
          </w:p>
        </w:tc>
        <w:tc>
          <w:tcPr>
            <w:tcW w:w="1134" w:type="dxa"/>
            <w:shd w:val="clear" w:color="auto" w:fill="auto"/>
            <w:noWrap/>
          </w:tcPr>
          <w:p w:rsidR="00247991" w:rsidRPr="00217328" w:rsidRDefault="00440B40" w:rsidP="007A1404">
            <w:pPr>
              <w:spacing w:line="360" w:lineRule="auto"/>
              <w:jc w:val="both"/>
              <w:rPr>
                <w:rFonts w:ascii="Garamond" w:hAnsi="Garamond"/>
              </w:rPr>
            </w:pPr>
            <w:r w:rsidRPr="00217328">
              <w:rPr>
                <w:rFonts w:ascii="Garamond" w:hAnsi="Garamond"/>
              </w:rPr>
              <w:t>210 026</w:t>
            </w:r>
          </w:p>
        </w:tc>
        <w:tc>
          <w:tcPr>
            <w:tcW w:w="2331" w:type="dxa"/>
            <w:shd w:val="clear" w:color="auto" w:fill="auto"/>
            <w:noWrap/>
            <w:vAlign w:val="bottom"/>
          </w:tcPr>
          <w:p w:rsidR="00247991" w:rsidRPr="00217328" w:rsidRDefault="00AD5512" w:rsidP="007A1404">
            <w:pPr>
              <w:spacing w:line="360" w:lineRule="auto"/>
              <w:jc w:val="both"/>
              <w:rPr>
                <w:rFonts w:ascii="Garamond" w:hAnsi="Garamond" w:cs="Arial"/>
              </w:rPr>
            </w:pPr>
            <w:r w:rsidRPr="00217328">
              <w:rPr>
                <w:rFonts w:ascii="Garamond" w:hAnsi="Garamond" w:cs="Arial"/>
              </w:rPr>
              <w:t>76 375</w:t>
            </w:r>
          </w:p>
        </w:tc>
      </w:tr>
      <w:tr w:rsidR="00247991" w:rsidRPr="00217328" w:rsidTr="00B763CB">
        <w:trPr>
          <w:trHeight w:val="255"/>
        </w:trPr>
        <w:tc>
          <w:tcPr>
            <w:tcW w:w="1800" w:type="dxa"/>
            <w:shd w:val="clear" w:color="auto" w:fill="auto"/>
            <w:noWrap/>
          </w:tcPr>
          <w:p w:rsidR="00247991" w:rsidRPr="00217328" w:rsidRDefault="00247991" w:rsidP="007A1404">
            <w:pPr>
              <w:spacing w:line="360" w:lineRule="auto"/>
              <w:jc w:val="both"/>
              <w:rPr>
                <w:rFonts w:ascii="Garamond" w:hAnsi="Garamond"/>
                <w:b/>
              </w:rPr>
            </w:pPr>
            <w:r w:rsidRPr="00217328">
              <w:rPr>
                <w:rFonts w:ascii="Garamond" w:hAnsi="Garamond"/>
                <w:b/>
              </w:rPr>
              <w:t>2006</w:t>
            </w:r>
          </w:p>
        </w:tc>
        <w:tc>
          <w:tcPr>
            <w:tcW w:w="1287" w:type="dxa"/>
            <w:shd w:val="clear" w:color="auto" w:fill="auto"/>
            <w:noWrap/>
          </w:tcPr>
          <w:p w:rsidR="00247991" w:rsidRPr="00217328" w:rsidRDefault="004E2260" w:rsidP="007A1404">
            <w:pPr>
              <w:spacing w:line="360" w:lineRule="auto"/>
              <w:jc w:val="both"/>
              <w:rPr>
                <w:rFonts w:ascii="Garamond" w:hAnsi="Garamond"/>
              </w:rPr>
            </w:pPr>
            <w:r w:rsidRPr="00217328">
              <w:rPr>
                <w:rFonts w:ascii="Garamond" w:hAnsi="Garamond"/>
              </w:rPr>
              <w:t>1 411 018</w:t>
            </w:r>
          </w:p>
        </w:tc>
        <w:tc>
          <w:tcPr>
            <w:tcW w:w="1080" w:type="dxa"/>
            <w:shd w:val="clear" w:color="auto" w:fill="auto"/>
            <w:noWrap/>
          </w:tcPr>
          <w:p w:rsidR="00247991" w:rsidRPr="00217328" w:rsidRDefault="00AD5512" w:rsidP="007A1404">
            <w:pPr>
              <w:spacing w:line="360" w:lineRule="auto"/>
              <w:jc w:val="both"/>
              <w:rPr>
                <w:rFonts w:ascii="Garamond" w:hAnsi="Garamond"/>
              </w:rPr>
            </w:pPr>
            <w:r w:rsidRPr="00217328">
              <w:rPr>
                <w:rFonts w:ascii="Garamond" w:hAnsi="Garamond"/>
              </w:rPr>
              <w:t>45 754</w:t>
            </w:r>
          </w:p>
        </w:tc>
        <w:tc>
          <w:tcPr>
            <w:tcW w:w="1044" w:type="dxa"/>
            <w:shd w:val="clear" w:color="auto" w:fill="auto"/>
            <w:noWrap/>
          </w:tcPr>
          <w:p w:rsidR="00247991" w:rsidRPr="00217328" w:rsidRDefault="00440B40" w:rsidP="007A1404">
            <w:pPr>
              <w:spacing w:line="360" w:lineRule="auto"/>
              <w:jc w:val="both"/>
              <w:rPr>
                <w:rFonts w:ascii="Garamond" w:hAnsi="Garamond"/>
              </w:rPr>
            </w:pPr>
            <w:r w:rsidRPr="00217328">
              <w:rPr>
                <w:rFonts w:ascii="Garamond" w:hAnsi="Garamond"/>
              </w:rPr>
              <w:t>26 140</w:t>
            </w:r>
          </w:p>
        </w:tc>
        <w:tc>
          <w:tcPr>
            <w:tcW w:w="1134" w:type="dxa"/>
            <w:shd w:val="clear" w:color="auto" w:fill="auto"/>
            <w:noWrap/>
          </w:tcPr>
          <w:p w:rsidR="00247991" w:rsidRPr="00217328" w:rsidRDefault="00440B40" w:rsidP="007A1404">
            <w:pPr>
              <w:spacing w:line="360" w:lineRule="auto"/>
              <w:jc w:val="both"/>
              <w:rPr>
                <w:rFonts w:ascii="Garamond" w:hAnsi="Garamond"/>
              </w:rPr>
            </w:pPr>
            <w:r w:rsidRPr="00217328">
              <w:rPr>
                <w:rFonts w:ascii="Garamond" w:hAnsi="Garamond"/>
              </w:rPr>
              <w:t>272 889</w:t>
            </w:r>
          </w:p>
        </w:tc>
        <w:tc>
          <w:tcPr>
            <w:tcW w:w="2331" w:type="dxa"/>
            <w:shd w:val="clear" w:color="auto" w:fill="auto"/>
            <w:noWrap/>
            <w:vAlign w:val="bottom"/>
          </w:tcPr>
          <w:p w:rsidR="00247991" w:rsidRPr="00217328" w:rsidRDefault="00AD5512" w:rsidP="007A1404">
            <w:pPr>
              <w:spacing w:line="360" w:lineRule="auto"/>
              <w:jc w:val="both"/>
              <w:rPr>
                <w:rFonts w:ascii="Garamond" w:hAnsi="Garamond" w:cs="Arial"/>
              </w:rPr>
            </w:pPr>
            <w:r w:rsidRPr="00217328">
              <w:rPr>
                <w:rFonts w:ascii="Garamond" w:hAnsi="Garamond" w:cs="Arial"/>
              </w:rPr>
              <w:t>92 927</w:t>
            </w:r>
          </w:p>
        </w:tc>
      </w:tr>
      <w:tr w:rsidR="001122E8" w:rsidRPr="00217328" w:rsidTr="00B763CB">
        <w:trPr>
          <w:trHeight w:val="255"/>
        </w:trPr>
        <w:tc>
          <w:tcPr>
            <w:tcW w:w="1800" w:type="dxa"/>
            <w:shd w:val="clear" w:color="auto" w:fill="auto"/>
            <w:noWrap/>
          </w:tcPr>
          <w:p w:rsidR="001122E8" w:rsidRPr="00217328" w:rsidRDefault="001122E8" w:rsidP="007A1404">
            <w:pPr>
              <w:spacing w:line="360" w:lineRule="auto"/>
              <w:jc w:val="both"/>
              <w:rPr>
                <w:rFonts w:ascii="Garamond" w:hAnsi="Garamond"/>
                <w:b/>
              </w:rPr>
            </w:pPr>
            <w:r w:rsidRPr="00217328">
              <w:rPr>
                <w:rFonts w:ascii="Garamond" w:hAnsi="Garamond"/>
                <w:b/>
              </w:rPr>
              <w:t>2007</w:t>
            </w:r>
          </w:p>
        </w:tc>
        <w:tc>
          <w:tcPr>
            <w:tcW w:w="1287" w:type="dxa"/>
            <w:shd w:val="clear" w:color="auto" w:fill="auto"/>
            <w:noWrap/>
          </w:tcPr>
          <w:p w:rsidR="001122E8" w:rsidRPr="00217328" w:rsidRDefault="004E2260" w:rsidP="007A1404">
            <w:pPr>
              <w:spacing w:line="360" w:lineRule="auto"/>
              <w:jc w:val="both"/>
              <w:rPr>
                <w:rFonts w:ascii="Garamond" w:hAnsi="Garamond"/>
              </w:rPr>
            </w:pPr>
            <w:r w:rsidRPr="00217328">
              <w:rPr>
                <w:rFonts w:ascii="Garamond" w:hAnsi="Garamond"/>
              </w:rPr>
              <w:t xml:space="preserve">1 833 </w:t>
            </w:r>
            <w:r w:rsidR="003C00BA" w:rsidRPr="00217328">
              <w:rPr>
                <w:rFonts w:ascii="Garamond" w:hAnsi="Garamond" w:cs="Arial"/>
              </w:rPr>
              <w:t>324</w:t>
            </w:r>
          </w:p>
        </w:tc>
        <w:tc>
          <w:tcPr>
            <w:tcW w:w="1080" w:type="dxa"/>
            <w:shd w:val="clear" w:color="auto" w:fill="auto"/>
            <w:noWrap/>
          </w:tcPr>
          <w:p w:rsidR="001122E8" w:rsidRPr="00217328" w:rsidRDefault="00AD5512" w:rsidP="007A1404">
            <w:pPr>
              <w:spacing w:line="360" w:lineRule="auto"/>
              <w:jc w:val="both"/>
              <w:rPr>
                <w:rFonts w:ascii="Garamond" w:hAnsi="Garamond"/>
              </w:rPr>
            </w:pPr>
            <w:r w:rsidRPr="00217328">
              <w:rPr>
                <w:rFonts w:ascii="Garamond" w:hAnsi="Garamond"/>
              </w:rPr>
              <w:t>52 982</w:t>
            </w:r>
          </w:p>
        </w:tc>
        <w:tc>
          <w:tcPr>
            <w:tcW w:w="1044" w:type="dxa"/>
            <w:shd w:val="clear" w:color="auto" w:fill="auto"/>
            <w:noWrap/>
          </w:tcPr>
          <w:p w:rsidR="001122E8" w:rsidRPr="00217328" w:rsidRDefault="00440B40" w:rsidP="007A1404">
            <w:pPr>
              <w:spacing w:line="360" w:lineRule="auto"/>
              <w:jc w:val="both"/>
              <w:rPr>
                <w:rFonts w:ascii="Garamond" w:hAnsi="Garamond"/>
              </w:rPr>
            </w:pPr>
            <w:r w:rsidRPr="00217328">
              <w:rPr>
                <w:rFonts w:ascii="Garamond" w:hAnsi="Garamond"/>
              </w:rPr>
              <w:t>33 003</w:t>
            </w:r>
          </w:p>
        </w:tc>
        <w:tc>
          <w:tcPr>
            <w:tcW w:w="1134" w:type="dxa"/>
            <w:shd w:val="clear" w:color="auto" w:fill="auto"/>
            <w:noWrap/>
          </w:tcPr>
          <w:p w:rsidR="001122E8" w:rsidRPr="00217328" w:rsidRDefault="00440B40" w:rsidP="007A1404">
            <w:pPr>
              <w:spacing w:line="360" w:lineRule="auto"/>
              <w:jc w:val="both"/>
              <w:rPr>
                <w:rFonts w:ascii="Garamond" w:hAnsi="Garamond"/>
              </w:rPr>
            </w:pPr>
            <w:r w:rsidRPr="00217328">
              <w:rPr>
                <w:rFonts w:ascii="Garamond" w:hAnsi="Garamond"/>
              </w:rPr>
              <w:t>319 332</w:t>
            </w:r>
          </w:p>
        </w:tc>
        <w:tc>
          <w:tcPr>
            <w:tcW w:w="2331" w:type="dxa"/>
            <w:shd w:val="clear" w:color="auto" w:fill="auto"/>
            <w:noWrap/>
            <w:vAlign w:val="bottom"/>
          </w:tcPr>
          <w:p w:rsidR="001122E8" w:rsidRPr="00217328" w:rsidRDefault="00AD5512" w:rsidP="007A1404">
            <w:pPr>
              <w:spacing w:line="360" w:lineRule="auto"/>
              <w:jc w:val="both"/>
              <w:rPr>
                <w:rFonts w:ascii="Garamond" w:hAnsi="Garamond" w:cs="Arial"/>
              </w:rPr>
            </w:pPr>
            <w:r w:rsidRPr="00217328">
              <w:rPr>
                <w:rFonts w:ascii="Garamond" w:hAnsi="Garamond" w:cs="Arial"/>
              </w:rPr>
              <w:t>126 240</w:t>
            </w:r>
          </w:p>
        </w:tc>
      </w:tr>
      <w:tr w:rsidR="005C615A" w:rsidRPr="00454C6F" w:rsidTr="00B763CB">
        <w:trPr>
          <w:trHeight w:val="255"/>
        </w:trPr>
        <w:tc>
          <w:tcPr>
            <w:tcW w:w="1800" w:type="dxa"/>
            <w:shd w:val="clear" w:color="auto" w:fill="auto"/>
            <w:noWrap/>
          </w:tcPr>
          <w:p w:rsidR="005C615A" w:rsidRPr="00454C6F" w:rsidRDefault="005C615A" w:rsidP="007A1404">
            <w:pPr>
              <w:spacing w:line="360" w:lineRule="auto"/>
              <w:jc w:val="both"/>
              <w:rPr>
                <w:rFonts w:ascii="Garamond" w:hAnsi="Garamond"/>
                <w:b/>
              </w:rPr>
            </w:pPr>
            <w:r w:rsidRPr="00454C6F">
              <w:rPr>
                <w:rFonts w:ascii="Garamond" w:hAnsi="Garamond"/>
                <w:b/>
              </w:rPr>
              <w:t>2008</w:t>
            </w:r>
          </w:p>
        </w:tc>
        <w:tc>
          <w:tcPr>
            <w:tcW w:w="1287" w:type="dxa"/>
            <w:shd w:val="clear" w:color="auto" w:fill="auto"/>
            <w:noWrap/>
            <w:vAlign w:val="bottom"/>
          </w:tcPr>
          <w:p w:rsidR="005C615A" w:rsidRPr="00454C6F" w:rsidRDefault="005C615A" w:rsidP="007A1404">
            <w:pPr>
              <w:spacing w:line="360" w:lineRule="auto"/>
              <w:rPr>
                <w:rFonts w:ascii="Garamond" w:hAnsi="Garamond" w:cs="Arial"/>
              </w:rPr>
            </w:pPr>
            <w:r w:rsidRPr="00454C6F">
              <w:rPr>
                <w:rFonts w:ascii="Garamond" w:hAnsi="Garamond" w:cs="Arial"/>
              </w:rPr>
              <w:t>1</w:t>
            </w:r>
            <w:r w:rsidR="00454C6F">
              <w:rPr>
                <w:rFonts w:ascii="Garamond" w:hAnsi="Garamond" w:cs="Arial"/>
              </w:rPr>
              <w:t xml:space="preserve"> </w:t>
            </w:r>
            <w:r w:rsidRPr="00454C6F">
              <w:rPr>
                <w:rFonts w:ascii="Garamond" w:hAnsi="Garamond" w:cs="Arial"/>
              </w:rPr>
              <w:t>770</w:t>
            </w:r>
            <w:r w:rsidR="00454C6F">
              <w:rPr>
                <w:rFonts w:ascii="Garamond" w:hAnsi="Garamond" w:cs="Arial"/>
              </w:rPr>
              <w:t xml:space="preserve"> </w:t>
            </w:r>
            <w:r w:rsidRPr="00454C6F">
              <w:rPr>
                <w:rFonts w:ascii="Garamond" w:hAnsi="Garamond" w:cs="Arial"/>
              </w:rPr>
              <w:t>873</w:t>
            </w:r>
          </w:p>
        </w:tc>
        <w:tc>
          <w:tcPr>
            <w:tcW w:w="1080" w:type="dxa"/>
            <w:shd w:val="clear" w:color="auto" w:fill="auto"/>
            <w:noWrap/>
            <w:vAlign w:val="bottom"/>
          </w:tcPr>
          <w:p w:rsidR="005C615A" w:rsidRPr="00454C6F" w:rsidRDefault="005C615A" w:rsidP="007A1404">
            <w:pPr>
              <w:spacing w:line="360" w:lineRule="auto"/>
              <w:rPr>
                <w:rFonts w:ascii="Garamond" w:hAnsi="Garamond" w:cs="Arial"/>
              </w:rPr>
            </w:pPr>
            <w:r w:rsidRPr="00454C6F">
              <w:rPr>
                <w:rFonts w:ascii="Garamond" w:hAnsi="Garamond" w:cs="Arial"/>
              </w:rPr>
              <w:t>72</w:t>
            </w:r>
            <w:r w:rsidR="00454C6F">
              <w:rPr>
                <w:rFonts w:ascii="Garamond" w:hAnsi="Garamond" w:cs="Arial"/>
              </w:rPr>
              <w:t xml:space="preserve"> </w:t>
            </w:r>
            <w:r w:rsidRPr="00454C6F">
              <w:rPr>
                <w:rFonts w:ascii="Garamond" w:hAnsi="Garamond" w:cs="Arial"/>
              </w:rPr>
              <w:t>179</w:t>
            </w:r>
          </w:p>
        </w:tc>
        <w:tc>
          <w:tcPr>
            <w:tcW w:w="1044" w:type="dxa"/>
            <w:shd w:val="clear" w:color="auto" w:fill="auto"/>
            <w:noWrap/>
            <w:vAlign w:val="bottom"/>
          </w:tcPr>
          <w:p w:rsidR="005C615A" w:rsidRPr="00454C6F" w:rsidRDefault="005C615A" w:rsidP="007A1404">
            <w:pPr>
              <w:spacing w:line="360" w:lineRule="auto"/>
              <w:rPr>
                <w:rFonts w:ascii="Garamond" w:hAnsi="Garamond" w:cs="Arial"/>
              </w:rPr>
            </w:pPr>
            <w:r w:rsidRPr="00454C6F">
              <w:rPr>
                <w:rFonts w:ascii="Garamond" w:hAnsi="Garamond" w:cs="Arial"/>
              </w:rPr>
              <w:t>50</w:t>
            </w:r>
            <w:r w:rsidR="00454C6F">
              <w:rPr>
                <w:rFonts w:ascii="Garamond" w:hAnsi="Garamond" w:cs="Arial"/>
              </w:rPr>
              <w:t xml:space="preserve"> </w:t>
            </w:r>
            <w:r w:rsidRPr="00454C6F">
              <w:rPr>
                <w:rFonts w:ascii="Garamond" w:hAnsi="Garamond" w:cs="Arial"/>
              </w:rPr>
              <w:t>682</w:t>
            </w:r>
          </w:p>
        </w:tc>
        <w:tc>
          <w:tcPr>
            <w:tcW w:w="1134" w:type="dxa"/>
            <w:shd w:val="clear" w:color="auto" w:fill="auto"/>
            <w:noWrap/>
            <w:vAlign w:val="bottom"/>
          </w:tcPr>
          <w:p w:rsidR="005C615A" w:rsidRPr="00454C6F" w:rsidRDefault="005C615A" w:rsidP="007A1404">
            <w:pPr>
              <w:spacing w:line="360" w:lineRule="auto"/>
              <w:rPr>
                <w:rFonts w:ascii="Garamond" w:hAnsi="Garamond" w:cs="Arial"/>
              </w:rPr>
            </w:pPr>
            <w:r w:rsidRPr="00454C6F">
              <w:rPr>
                <w:rFonts w:ascii="Garamond" w:hAnsi="Garamond" w:cs="Arial"/>
              </w:rPr>
              <w:t>372</w:t>
            </w:r>
            <w:r w:rsidR="00454C6F">
              <w:rPr>
                <w:rFonts w:ascii="Garamond" w:hAnsi="Garamond" w:cs="Arial"/>
              </w:rPr>
              <w:t xml:space="preserve"> </w:t>
            </w:r>
            <w:r w:rsidRPr="00454C6F">
              <w:rPr>
                <w:rFonts w:ascii="Garamond" w:hAnsi="Garamond" w:cs="Arial"/>
              </w:rPr>
              <w:t>739</w:t>
            </w:r>
          </w:p>
        </w:tc>
        <w:tc>
          <w:tcPr>
            <w:tcW w:w="2331" w:type="dxa"/>
            <w:shd w:val="clear" w:color="auto" w:fill="auto"/>
            <w:noWrap/>
            <w:vAlign w:val="bottom"/>
          </w:tcPr>
          <w:p w:rsidR="005C615A" w:rsidRPr="00454C6F" w:rsidRDefault="00454C6F" w:rsidP="007A1404">
            <w:pPr>
              <w:spacing w:line="360" w:lineRule="auto"/>
              <w:rPr>
                <w:rFonts w:ascii="Garamond" w:hAnsi="Garamond" w:cs="Arial"/>
              </w:rPr>
            </w:pPr>
            <w:r w:rsidRPr="00454C6F">
              <w:rPr>
                <w:rFonts w:ascii="Garamond" w:hAnsi="Garamond" w:cs="Arial"/>
              </w:rPr>
              <w:t>183</w:t>
            </w:r>
            <w:r>
              <w:rPr>
                <w:rFonts w:ascii="Garamond" w:hAnsi="Garamond" w:cs="Arial"/>
              </w:rPr>
              <w:t xml:space="preserve"> </w:t>
            </w:r>
            <w:r w:rsidRPr="00454C6F">
              <w:rPr>
                <w:rFonts w:ascii="Garamond" w:hAnsi="Garamond" w:cs="Arial"/>
              </w:rPr>
              <w:t>195</w:t>
            </w:r>
          </w:p>
        </w:tc>
      </w:tr>
      <w:tr w:rsidR="005C615A" w:rsidRPr="00454C6F" w:rsidTr="00B763CB">
        <w:trPr>
          <w:trHeight w:val="255"/>
        </w:trPr>
        <w:tc>
          <w:tcPr>
            <w:tcW w:w="1800" w:type="dxa"/>
            <w:shd w:val="clear" w:color="auto" w:fill="auto"/>
            <w:noWrap/>
          </w:tcPr>
          <w:p w:rsidR="005C615A" w:rsidRPr="00454C6F" w:rsidRDefault="005C615A" w:rsidP="007A1404">
            <w:pPr>
              <w:spacing w:line="360" w:lineRule="auto"/>
              <w:jc w:val="both"/>
              <w:rPr>
                <w:rFonts w:ascii="Garamond" w:hAnsi="Garamond"/>
                <w:b/>
              </w:rPr>
            </w:pPr>
            <w:r w:rsidRPr="00454C6F">
              <w:rPr>
                <w:rFonts w:ascii="Garamond" w:hAnsi="Garamond"/>
                <w:b/>
              </w:rPr>
              <w:t>2009</w:t>
            </w:r>
          </w:p>
        </w:tc>
        <w:tc>
          <w:tcPr>
            <w:tcW w:w="1287" w:type="dxa"/>
            <w:shd w:val="clear" w:color="auto" w:fill="auto"/>
            <w:noWrap/>
          </w:tcPr>
          <w:p w:rsidR="005C615A" w:rsidRPr="00454C6F" w:rsidRDefault="005C615A" w:rsidP="007A1404">
            <w:pPr>
              <w:spacing w:line="360" w:lineRule="auto"/>
              <w:jc w:val="both"/>
              <w:rPr>
                <w:rFonts w:ascii="Garamond" w:hAnsi="Garamond"/>
              </w:rPr>
            </w:pPr>
            <w:r w:rsidRPr="00454C6F">
              <w:rPr>
                <w:rFonts w:ascii="Garamond" w:hAnsi="Garamond" w:cs="Arial"/>
              </w:rPr>
              <w:t>1</w:t>
            </w:r>
            <w:r w:rsidR="00454C6F">
              <w:rPr>
                <w:rFonts w:ascii="Garamond" w:hAnsi="Garamond" w:cs="Arial"/>
              </w:rPr>
              <w:t xml:space="preserve"> </w:t>
            </w:r>
            <w:r w:rsidRPr="00454C6F">
              <w:rPr>
                <w:rFonts w:ascii="Garamond" w:hAnsi="Garamond" w:cs="Arial"/>
              </w:rPr>
              <w:t>114</w:t>
            </w:r>
            <w:r w:rsidR="00454C6F">
              <w:rPr>
                <w:rFonts w:ascii="Garamond" w:hAnsi="Garamond" w:cs="Arial"/>
              </w:rPr>
              <w:t xml:space="preserve"> </w:t>
            </w:r>
            <w:r w:rsidRPr="00454C6F">
              <w:rPr>
                <w:rFonts w:ascii="Garamond" w:hAnsi="Garamond" w:cs="Arial"/>
              </w:rPr>
              <w:t>189</w:t>
            </w:r>
          </w:p>
        </w:tc>
        <w:tc>
          <w:tcPr>
            <w:tcW w:w="1080" w:type="dxa"/>
            <w:shd w:val="clear" w:color="auto" w:fill="auto"/>
            <w:noWrap/>
          </w:tcPr>
          <w:p w:rsidR="005C615A" w:rsidRPr="00454C6F" w:rsidRDefault="005C615A" w:rsidP="007A1404">
            <w:pPr>
              <w:spacing w:line="360" w:lineRule="auto"/>
              <w:jc w:val="both"/>
              <w:rPr>
                <w:rFonts w:ascii="Garamond" w:hAnsi="Garamond"/>
              </w:rPr>
            </w:pPr>
            <w:r w:rsidRPr="00454C6F">
              <w:rPr>
                <w:rFonts w:ascii="Garamond" w:hAnsi="Garamond" w:cs="Arial"/>
              </w:rPr>
              <w:t>58</w:t>
            </w:r>
            <w:r w:rsidR="00454C6F">
              <w:rPr>
                <w:rFonts w:ascii="Garamond" w:hAnsi="Garamond" w:cs="Arial"/>
              </w:rPr>
              <w:t xml:space="preserve"> </w:t>
            </w:r>
            <w:r w:rsidRPr="00454C6F">
              <w:rPr>
                <w:rFonts w:ascii="Garamond" w:hAnsi="Garamond" w:cs="Arial"/>
              </w:rPr>
              <w:t>565</w:t>
            </w:r>
          </w:p>
        </w:tc>
        <w:tc>
          <w:tcPr>
            <w:tcW w:w="1044" w:type="dxa"/>
            <w:shd w:val="clear" w:color="auto" w:fill="auto"/>
            <w:noWrap/>
          </w:tcPr>
          <w:p w:rsidR="005C615A" w:rsidRPr="00454C6F" w:rsidRDefault="005C615A" w:rsidP="007A1404">
            <w:pPr>
              <w:spacing w:line="360" w:lineRule="auto"/>
              <w:jc w:val="both"/>
              <w:rPr>
                <w:rFonts w:ascii="Garamond" w:hAnsi="Garamond"/>
              </w:rPr>
            </w:pPr>
            <w:r w:rsidRPr="00454C6F">
              <w:rPr>
                <w:rFonts w:ascii="Garamond" w:hAnsi="Garamond" w:cs="Arial"/>
              </w:rPr>
              <w:t>43</w:t>
            </w:r>
            <w:r w:rsidR="00454C6F">
              <w:rPr>
                <w:rFonts w:ascii="Garamond" w:hAnsi="Garamond" w:cs="Arial"/>
              </w:rPr>
              <w:t xml:space="preserve"> </w:t>
            </w:r>
            <w:r w:rsidRPr="00454C6F">
              <w:rPr>
                <w:rFonts w:ascii="Garamond" w:hAnsi="Garamond" w:cs="Arial"/>
              </w:rPr>
              <w:t>313</w:t>
            </w:r>
          </w:p>
        </w:tc>
        <w:tc>
          <w:tcPr>
            <w:tcW w:w="1134" w:type="dxa"/>
            <w:shd w:val="clear" w:color="auto" w:fill="auto"/>
            <w:noWrap/>
          </w:tcPr>
          <w:p w:rsidR="005C615A" w:rsidRPr="00454C6F" w:rsidRDefault="005C615A" w:rsidP="007A1404">
            <w:pPr>
              <w:spacing w:line="360" w:lineRule="auto"/>
              <w:jc w:val="both"/>
              <w:rPr>
                <w:rFonts w:ascii="Garamond" w:hAnsi="Garamond"/>
              </w:rPr>
            </w:pPr>
            <w:r w:rsidRPr="00454C6F">
              <w:rPr>
                <w:rFonts w:ascii="Garamond" w:hAnsi="Garamond" w:cs="Arial"/>
              </w:rPr>
              <w:t>301</w:t>
            </w:r>
            <w:r w:rsidR="00454C6F">
              <w:rPr>
                <w:rFonts w:ascii="Garamond" w:hAnsi="Garamond" w:cs="Arial"/>
              </w:rPr>
              <w:t xml:space="preserve"> </w:t>
            </w:r>
            <w:r w:rsidRPr="00454C6F">
              <w:rPr>
                <w:rFonts w:ascii="Garamond" w:hAnsi="Garamond" w:cs="Arial"/>
              </w:rPr>
              <w:t>367</w:t>
            </w:r>
          </w:p>
        </w:tc>
        <w:tc>
          <w:tcPr>
            <w:tcW w:w="2331" w:type="dxa"/>
            <w:shd w:val="clear" w:color="auto" w:fill="auto"/>
            <w:noWrap/>
            <w:vAlign w:val="bottom"/>
          </w:tcPr>
          <w:p w:rsidR="005C615A" w:rsidRPr="00454C6F" w:rsidRDefault="00454C6F" w:rsidP="007A1404">
            <w:pPr>
              <w:spacing w:line="360" w:lineRule="auto"/>
              <w:jc w:val="both"/>
              <w:rPr>
                <w:rFonts w:ascii="Garamond" w:hAnsi="Garamond" w:cs="Arial"/>
              </w:rPr>
            </w:pPr>
            <w:r w:rsidRPr="00454C6F">
              <w:rPr>
                <w:rFonts w:ascii="Garamond" w:hAnsi="Garamond" w:cs="Arial"/>
              </w:rPr>
              <w:t>116</w:t>
            </w:r>
            <w:r>
              <w:rPr>
                <w:rFonts w:ascii="Garamond" w:hAnsi="Garamond" w:cs="Arial"/>
              </w:rPr>
              <w:t xml:space="preserve"> </w:t>
            </w:r>
            <w:r w:rsidRPr="00454C6F">
              <w:rPr>
                <w:rFonts w:ascii="Garamond" w:hAnsi="Garamond" w:cs="Arial"/>
              </w:rPr>
              <w:t>555</w:t>
            </w:r>
          </w:p>
        </w:tc>
      </w:tr>
    </w:tbl>
    <w:p w:rsidR="00247991" w:rsidRPr="00217328" w:rsidRDefault="00247991" w:rsidP="00432C32">
      <w:pPr>
        <w:spacing w:line="360" w:lineRule="auto"/>
        <w:jc w:val="both"/>
        <w:rPr>
          <w:rFonts w:ascii="Garamond" w:hAnsi="Garamond"/>
          <w:color w:val="292526"/>
          <w:sz w:val="20"/>
          <w:szCs w:val="20"/>
        </w:rPr>
      </w:pPr>
      <w:r w:rsidRPr="00217328">
        <w:rPr>
          <w:rFonts w:ascii="Garamond" w:hAnsi="Garamond"/>
          <w:i/>
          <w:sz w:val="20"/>
          <w:szCs w:val="20"/>
        </w:rPr>
        <w:t>Source</w:t>
      </w:r>
      <w:r w:rsidRPr="00217328">
        <w:rPr>
          <w:rFonts w:ascii="Garamond" w:hAnsi="Garamond"/>
          <w:sz w:val="20"/>
          <w:szCs w:val="20"/>
        </w:rPr>
        <w:t>: UNCTAD</w:t>
      </w:r>
      <w:r w:rsidR="00074755" w:rsidRPr="00217328">
        <w:rPr>
          <w:rFonts w:ascii="Garamond" w:hAnsi="Garamond"/>
          <w:sz w:val="20"/>
          <w:szCs w:val="20"/>
        </w:rPr>
        <w:t xml:space="preserve"> FDI</w:t>
      </w:r>
      <w:r w:rsidRPr="00217328">
        <w:rPr>
          <w:rFonts w:ascii="Garamond" w:hAnsi="Garamond"/>
          <w:sz w:val="20"/>
          <w:szCs w:val="20"/>
        </w:rPr>
        <w:t xml:space="preserve"> Database</w:t>
      </w:r>
      <w:r w:rsidR="00AD5512" w:rsidRPr="00217328">
        <w:rPr>
          <w:rFonts w:ascii="Garamond" w:hAnsi="Garamond"/>
          <w:sz w:val="20"/>
          <w:szCs w:val="20"/>
        </w:rPr>
        <w:t>, accessed March 16, 2009</w:t>
      </w:r>
      <w:r w:rsidRPr="00217328">
        <w:rPr>
          <w:rFonts w:ascii="Garamond" w:hAnsi="Garamond"/>
          <w:sz w:val="20"/>
          <w:szCs w:val="20"/>
        </w:rPr>
        <w:t>.</w:t>
      </w:r>
    </w:p>
    <w:p w:rsidR="00247991" w:rsidRPr="00217328" w:rsidRDefault="00247991" w:rsidP="00432C32">
      <w:pPr>
        <w:autoSpaceDE w:val="0"/>
        <w:autoSpaceDN w:val="0"/>
        <w:adjustRightInd w:val="0"/>
        <w:spacing w:line="360" w:lineRule="auto"/>
        <w:jc w:val="both"/>
        <w:rPr>
          <w:rFonts w:ascii="Garamond" w:hAnsi="Garamond"/>
          <w:b/>
          <w:color w:val="000000"/>
        </w:rPr>
      </w:pPr>
    </w:p>
    <w:p w:rsidR="00247991" w:rsidRPr="00217328" w:rsidRDefault="00C1315C" w:rsidP="0001695B">
      <w:pPr>
        <w:autoSpaceDE w:val="0"/>
        <w:autoSpaceDN w:val="0"/>
        <w:adjustRightInd w:val="0"/>
        <w:spacing w:line="276" w:lineRule="auto"/>
        <w:jc w:val="both"/>
        <w:rPr>
          <w:rFonts w:ascii="Garamond" w:hAnsi="Garamond"/>
        </w:rPr>
      </w:pPr>
      <w:r w:rsidRPr="00C1315C">
        <w:rPr>
          <w:rFonts w:ascii="Garamond" w:hAnsi="Garamond"/>
          <w:noProof/>
          <w:lang w:val="en-US"/>
        </w:rPr>
        <w:drawing>
          <wp:inline distT="0" distB="0" distL="0" distR="0">
            <wp:extent cx="5534025" cy="3219450"/>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7991" w:rsidRPr="00217328" w:rsidRDefault="0001695B" w:rsidP="0001695B">
      <w:pPr>
        <w:spacing w:line="276" w:lineRule="auto"/>
        <w:jc w:val="both"/>
        <w:rPr>
          <w:rFonts w:ascii="Garamond" w:hAnsi="Garamond"/>
          <w:sz w:val="20"/>
          <w:szCs w:val="20"/>
        </w:rPr>
      </w:pPr>
      <w:r>
        <w:rPr>
          <w:rFonts w:ascii="Garamond" w:hAnsi="Garamond"/>
          <w:i/>
          <w:sz w:val="20"/>
          <w:szCs w:val="20"/>
        </w:rPr>
        <w:t xml:space="preserve">    </w:t>
      </w:r>
      <w:r w:rsidR="00247991" w:rsidRPr="00217328">
        <w:rPr>
          <w:rFonts w:ascii="Garamond" w:hAnsi="Garamond"/>
          <w:i/>
          <w:sz w:val="20"/>
          <w:szCs w:val="20"/>
        </w:rPr>
        <w:t>Source</w:t>
      </w:r>
      <w:r w:rsidR="00247991" w:rsidRPr="00217328">
        <w:rPr>
          <w:rFonts w:ascii="Garamond" w:hAnsi="Garamond"/>
          <w:sz w:val="20"/>
          <w:szCs w:val="20"/>
        </w:rPr>
        <w:t>: Based on UNCTAD FDI Database.</w:t>
      </w:r>
    </w:p>
    <w:p w:rsidR="00247991" w:rsidRDefault="00247991" w:rsidP="00432C32">
      <w:pPr>
        <w:pStyle w:val="FootnoteText"/>
        <w:spacing w:line="360" w:lineRule="auto"/>
        <w:jc w:val="both"/>
        <w:rPr>
          <w:rFonts w:ascii="Garamond" w:hAnsi="Garamond"/>
          <w:sz w:val="24"/>
          <w:szCs w:val="24"/>
        </w:rPr>
      </w:pPr>
    </w:p>
    <w:p w:rsidR="00B154D5" w:rsidRDefault="00B154D5" w:rsidP="00B154D5">
      <w:pPr>
        <w:pStyle w:val="FootnoteText"/>
        <w:spacing w:line="360" w:lineRule="auto"/>
        <w:jc w:val="both"/>
        <w:rPr>
          <w:rFonts w:ascii="Garamond" w:hAnsi="Garamond"/>
          <w:b/>
          <w:color w:val="000000"/>
        </w:rPr>
      </w:pPr>
    </w:p>
    <w:p w:rsidR="00B154D5" w:rsidRDefault="00B154D5" w:rsidP="00B154D5">
      <w:pPr>
        <w:pStyle w:val="FootnoteText"/>
        <w:spacing w:line="360" w:lineRule="auto"/>
        <w:jc w:val="both"/>
        <w:rPr>
          <w:rFonts w:ascii="Garamond" w:hAnsi="Garamond" w:cs="Arial"/>
          <w:sz w:val="24"/>
          <w:szCs w:val="24"/>
        </w:rPr>
      </w:pPr>
      <w:r w:rsidRPr="00B154D5">
        <w:rPr>
          <w:rFonts w:ascii="Garamond" w:hAnsi="Garamond"/>
          <w:b/>
          <w:i/>
          <w:color w:val="000000"/>
          <w:sz w:val="24"/>
          <w:szCs w:val="24"/>
        </w:rPr>
        <w:t>The SSA share of global FDI flows is dwindling relative to other developing regions</w:t>
      </w:r>
      <w:r w:rsidR="00856EDD">
        <w:rPr>
          <w:rFonts w:ascii="Garamond" w:hAnsi="Garamond"/>
          <w:b/>
          <w:i/>
          <w:color w:val="000000"/>
          <w:sz w:val="24"/>
          <w:szCs w:val="24"/>
        </w:rPr>
        <w:t xml:space="preserve">. </w:t>
      </w:r>
      <w:r w:rsidRPr="00217328">
        <w:rPr>
          <w:rFonts w:ascii="Garamond" w:hAnsi="Garamond" w:cs="Arial"/>
          <w:sz w:val="24"/>
          <w:szCs w:val="24"/>
        </w:rPr>
        <w:t>The fact that the volume of FDI inflows to SSA are very low is further corroborated by the average annual share of the region in global FDI inflows that stood at 4.3% during 1970-79 and fell by more than 50% to 1.5% during 1980-89 with a further fall to 1.2% during 1990-99. Thereafter, the average share oscillated between 0.4% and 2.4%</w:t>
      </w:r>
      <w:r>
        <w:rPr>
          <w:rFonts w:ascii="Garamond" w:hAnsi="Garamond" w:cs="Arial"/>
          <w:sz w:val="24"/>
          <w:szCs w:val="24"/>
        </w:rPr>
        <w:t>, but with the highest peak of 3.9% in 2009</w:t>
      </w:r>
      <w:r w:rsidRPr="00217328">
        <w:rPr>
          <w:rFonts w:ascii="Garamond" w:hAnsi="Garamond" w:cs="Arial"/>
          <w:sz w:val="24"/>
          <w:szCs w:val="24"/>
        </w:rPr>
        <w:t xml:space="preserve">. These figures contrast sharply with the situation in Asia and </w:t>
      </w:r>
      <w:smartTag w:uri="urn:schemas-microsoft-com:office:smarttags" w:element="place">
        <w:r w:rsidRPr="00217328">
          <w:rPr>
            <w:rFonts w:ascii="Garamond" w:hAnsi="Garamond" w:cs="Arial"/>
            <w:sz w:val="24"/>
            <w:szCs w:val="24"/>
          </w:rPr>
          <w:t>Latin America</w:t>
        </w:r>
      </w:smartTag>
      <w:r w:rsidRPr="00217328">
        <w:rPr>
          <w:rFonts w:ascii="Garamond" w:hAnsi="Garamond" w:cs="Arial"/>
          <w:sz w:val="24"/>
          <w:szCs w:val="24"/>
        </w:rPr>
        <w:t>. Apart from the period 1970-79 when Asia had an average global FDI share of 7.7%, the figures were double digits throughout the period under review. Similarly, the average world share</w:t>
      </w:r>
      <w:r>
        <w:rPr>
          <w:rFonts w:ascii="Garamond" w:hAnsi="Garamond" w:cs="Arial"/>
          <w:sz w:val="24"/>
          <w:szCs w:val="24"/>
        </w:rPr>
        <w:t>s</w:t>
      </w:r>
      <w:r w:rsidRPr="00217328">
        <w:rPr>
          <w:rFonts w:ascii="Garamond" w:hAnsi="Garamond" w:cs="Arial"/>
          <w:sz w:val="24"/>
          <w:szCs w:val="24"/>
        </w:rPr>
        <w:t xml:space="preserve"> of Latin America </w:t>
      </w:r>
      <w:r>
        <w:rPr>
          <w:rFonts w:ascii="Garamond" w:hAnsi="Garamond" w:cs="Arial"/>
          <w:sz w:val="24"/>
          <w:szCs w:val="24"/>
        </w:rPr>
        <w:t>and Asia are</w:t>
      </w:r>
      <w:r w:rsidRPr="00217328">
        <w:rPr>
          <w:rFonts w:ascii="Garamond" w:hAnsi="Garamond" w:cs="Arial"/>
          <w:sz w:val="24"/>
          <w:szCs w:val="24"/>
        </w:rPr>
        <w:t xml:space="preserve"> in multiples of the </w:t>
      </w:r>
      <w:r>
        <w:rPr>
          <w:rFonts w:ascii="Garamond" w:hAnsi="Garamond" w:cs="Arial"/>
          <w:sz w:val="24"/>
          <w:szCs w:val="24"/>
        </w:rPr>
        <w:t>figure for</w:t>
      </w:r>
      <w:r w:rsidRPr="00217328">
        <w:rPr>
          <w:rFonts w:ascii="Garamond" w:hAnsi="Garamond" w:cs="Arial"/>
          <w:sz w:val="24"/>
          <w:szCs w:val="24"/>
        </w:rPr>
        <w:t xml:space="preserve"> SSA, </w:t>
      </w:r>
      <w:r>
        <w:rPr>
          <w:rFonts w:ascii="Garamond" w:hAnsi="Garamond" w:cs="Arial"/>
          <w:sz w:val="24"/>
          <w:szCs w:val="24"/>
        </w:rPr>
        <w:t>especially between 1980 and 2009</w:t>
      </w:r>
      <w:r w:rsidRPr="00217328">
        <w:rPr>
          <w:rFonts w:ascii="Garamond" w:hAnsi="Garamond" w:cs="Arial"/>
          <w:sz w:val="24"/>
          <w:szCs w:val="24"/>
        </w:rPr>
        <w:t xml:space="preserve"> (See Table 2). </w:t>
      </w:r>
    </w:p>
    <w:p w:rsidR="00AC6F2B" w:rsidRDefault="00AC6F2B" w:rsidP="00B154D5">
      <w:pPr>
        <w:pStyle w:val="FootnoteText"/>
        <w:spacing w:line="360" w:lineRule="auto"/>
        <w:jc w:val="both"/>
        <w:rPr>
          <w:rFonts w:ascii="Garamond" w:hAnsi="Garamond" w:cs="Arial"/>
          <w:sz w:val="24"/>
          <w:szCs w:val="24"/>
        </w:rPr>
      </w:pPr>
    </w:p>
    <w:p w:rsidR="00AC6F2B" w:rsidRDefault="00AC6F2B" w:rsidP="00B154D5">
      <w:pPr>
        <w:pStyle w:val="FootnoteText"/>
        <w:spacing w:line="360" w:lineRule="auto"/>
        <w:jc w:val="both"/>
        <w:rPr>
          <w:rFonts w:ascii="Garamond" w:hAnsi="Garamond" w:cs="Arial"/>
          <w:sz w:val="24"/>
          <w:szCs w:val="24"/>
        </w:rPr>
      </w:pPr>
    </w:p>
    <w:p w:rsidR="00AC6F2B" w:rsidRDefault="00AC6F2B" w:rsidP="00B154D5">
      <w:pPr>
        <w:pStyle w:val="FootnoteText"/>
        <w:spacing w:line="360" w:lineRule="auto"/>
        <w:jc w:val="both"/>
        <w:rPr>
          <w:rFonts w:ascii="Garamond" w:hAnsi="Garamond" w:cs="Arial"/>
          <w:sz w:val="24"/>
          <w:szCs w:val="24"/>
        </w:rPr>
      </w:pPr>
    </w:p>
    <w:p w:rsidR="00922DFD" w:rsidRDefault="00922DFD" w:rsidP="00B154D5">
      <w:pPr>
        <w:pStyle w:val="FootnoteText"/>
        <w:spacing w:line="360" w:lineRule="auto"/>
        <w:jc w:val="both"/>
        <w:rPr>
          <w:rFonts w:ascii="Garamond" w:hAnsi="Garamond" w:cs="Arial"/>
          <w:sz w:val="24"/>
          <w:szCs w:val="24"/>
        </w:rPr>
      </w:pPr>
    </w:p>
    <w:p w:rsidR="00922DFD" w:rsidRDefault="00922DFD" w:rsidP="00B154D5">
      <w:pPr>
        <w:pStyle w:val="FootnoteText"/>
        <w:spacing w:line="360" w:lineRule="auto"/>
        <w:jc w:val="both"/>
        <w:rPr>
          <w:rFonts w:ascii="Garamond" w:hAnsi="Garamond" w:cs="Arial"/>
          <w:sz w:val="24"/>
          <w:szCs w:val="24"/>
        </w:rPr>
      </w:pPr>
    </w:p>
    <w:p w:rsidR="00922DFD" w:rsidRDefault="00922DFD" w:rsidP="00B154D5">
      <w:pPr>
        <w:pStyle w:val="FootnoteText"/>
        <w:spacing w:line="360" w:lineRule="auto"/>
        <w:jc w:val="both"/>
        <w:rPr>
          <w:rFonts w:ascii="Garamond" w:hAnsi="Garamond" w:cs="Arial"/>
          <w:sz w:val="24"/>
          <w:szCs w:val="24"/>
        </w:rPr>
      </w:pPr>
    </w:p>
    <w:p w:rsidR="00AC6F2B" w:rsidRPr="00856EDD" w:rsidRDefault="00AC6F2B" w:rsidP="00B154D5">
      <w:pPr>
        <w:pStyle w:val="FootnoteText"/>
        <w:spacing w:line="360" w:lineRule="auto"/>
        <w:jc w:val="both"/>
        <w:rPr>
          <w:rFonts w:ascii="Garamond" w:hAnsi="Garamond"/>
          <w:b/>
          <w:i/>
          <w:color w:val="000000"/>
          <w:sz w:val="24"/>
          <w:szCs w:val="24"/>
        </w:rPr>
      </w:pPr>
    </w:p>
    <w:p w:rsidR="00247991" w:rsidRPr="00217328" w:rsidRDefault="00247991" w:rsidP="00432C32">
      <w:pPr>
        <w:autoSpaceDE w:val="0"/>
        <w:autoSpaceDN w:val="0"/>
        <w:adjustRightInd w:val="0"/>
        <w:spacing w:line="360" w:lineRule="auto"/>
        <w:jc w:val="both"/>
        <w:rPr>
          <w:rFonts w:ascii="Garamond" w:hAnsi="Garamond"/>
          <w:b/>
          <w:color w:val="000000"/>
        </w:rPr>
      </w:pPr>
      <w:r w:rsidRPr="00217328">
        <w:rPr>
          <w:rFonts w:ascii="Garamond" w:hAnsi="Garamond"/>
          <w:b/>
          <w:color w:val="000000"/>
        </w:rPr>
        <w:lastRenderedPageBreak/>
        <w:t xml:space="preserve">Table 2: </w:t>
      </w:r>
      <w:r w:rsidRPr="00217328">
        <w:rPr>
          <w:rFonts w:ascii="Garamond" w:hAnsi="Garamond"/>
          <w:b/>
          <w:color w:val="292526"/>
        </w:rPr>
        <w:t>Distr</w:t>
      </w:r>
      <w:r w:rsidR="00AC312B" w:rsidRPr="00217328">
        <w:rPr>
          <w:rFonts w:ascii="Garamond" w:hAnsi="Garamond"/>
          <w:b/>
          <w:color w:val="292526"/>
        </w:rPr>
        <w:t>ibution of Global FDI Inflows in</w:t>
      </w:r>
      <w:r w:rsidRPr="00217328">
        <w:rPr>
          <w:rFonts w:ascii="Garamond" w:hAnsi="Garamond"/>
          <w:b/>
          <w:color w:val="292526"/>
        </w:rPr>
        <w:t xml:space="preserve"> </w:t>
      </w:r>
      <w:r w:rsidR="00AC312B" w:rsidRPr="00217328">
        <w:rPr>
          <w:rFonts w:ascii="Garamond" w:hAnsi="Garamond"/>
          <w:b/>
          <w:color w:val="292526"/>
        </w:rPr>
        <w:t xml:space="preserve">Developing </w:t>
      </w:r>
      <w:r w:rsidRPr="00217328">
        <w:rPr>
          <w:rFonts w:ascii="Garamond" w:hAnsi="Garamond"/>
          <w:b/>
          <w:color w:val="292526"/>
        </w:rPr>
        <w:t>Region</w:t>
      </w:r>
      <w:r w:rsidR="00AC312B" w:rsidRPr="00217328">
        <w:rPr>
          <w:rFonts w:ascii="Garamond" w:hAnsi="Garamond"/>
          <w:b/>
          <w:color w:val="292526"/>
        </w:rPr>
        <w:t>s</w:t>
      </w:r>
      <w:r w:rsidRPr="00217328">
        <w:rPr>
          <w:rFonts w:ascii="Garamond" w:hAnsi="Garamond"/>
          <w:b/>
          <w:color w:val="292526"/>
        </w:rPr>
        <w:t xml:space="preserve">, 1970-2005 </w:t>
      </w:r>
      <w:r w:rsidRPr="00217328">
        <w:rPr>
          <w:rFonts w:ascii="Garamond" w:hAnsi="Garamond"/>
          <w:b/>
          <w:color w:val="000000"/>
        </w:rPr>
        <w:t xml:space="preserve">(% of </w:t>
      </w:r>
      <w:r w:rsidR="00AC312B" w:rsidRPr="00217328">
        <w:rPr>
          <w:rFonts w:ascii="Garamond" w:hAnsi="Garamond"/>
          <w:b/>
          <w:color w:val="000000"/>
        </w:rPr>
        <w:tab/>
      </w:r>
      <w:r w:rsidR="00AC312B" w:rsidRPr="00217328">
        <w:rPr>
          <w:rFonts w:ascii="Garamond" w:hAnsi="Garamond"/>
          <w:b/>
          <w:color w:val="000000"/>
        </w:rPr>
        <w:tab/>
        <w:t xml:space="preserve">   </w:t>
      </w:r>
      <w:r w:rsidRPr="00217328">
        <w:rPr>
          <w:rFonts w:ascii="Garamond" w:hAnsi="Garamond"/>
          <w:b/>
          <w:color w:val="000000"/>
        </w:rPr>
        <w:t>World)</w:t>
      </w:r>
    </w:p>
    <w:tbl>
      <w:tblPr>
        <w:tblW w:w="87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267"/>
        <w:gridCol w:w="1385"/>
        <w:gridCol w:w="1134"/>
        <w:gridCol w:w="1418"/>
        <w:gridCol w:w="2544"/>
      </w:tblGrid>
      <w:tr w:rsidR="00247991" w:rsidRPr="00217328" w:rsidTr="00856EDD">
        <w:tc>
          <w:tcPr>
            <w:tcW w:w="2267" w:type="dxa"/>
            <w:shd w:val="clear" w:color="auto" w:fill="auto"/>
          </w:tcPr>
          <w:p w:rsidR="00247991" w:rsidRPr="00217328" w:rsidRDefault="00247991" w:rsidP="007A1404">
            <w:pPr>
              <w:spacing w:line="360" w:lineRule="auto"/>
              <w:jc w:val="both"/>
              <w:rPr>
                <w:rFonts w:ascii="Garamond" w:hAnsi="Garamond"/>
                <w:b/>
                <w:bCs/>
                <w:caps/>
              </w:rPr>
            </w:pPr>
            <w:r w:rsidRPr="00217328">
              <w:rPr>
                <w:rFonts w:ascii="Garamond" w:hAnsi="Garamond"/>
                <w:b/>
                <w:bCs/>
                <w:caps/>
              </w:rPr>
              <w:t>Year/Country</w:t>
            </w:r>
          </w:p>
        </w:tc>
        <w:tc>
          <w:tcPr>
            <w:tcW w:w="1385" w:type="dxa"/>
            <w:shd w:val="clear" w:color="auto" w:fill="auto"/>
          </w:tcPr>
          <w:p w:rsidR="00247991" w:rsidRPr="00217328" w:rsidRDefault="00247991" w:rsidP="007A1404">
            <w:pPr>
              <w:spacing w:line="360" w:lineRule="auto"/>
              <w:jc w:val="both"/>
              <w:rPr>
                <w:rFonts w:ascii="Garamond" w:hAnsi="Garamond"/>
                <w:b/>
                <w:bCs/>
                <w:caps/>
              </w:rPr>
            </w:pPr>
            <w:smartTag w:uri="urn:schemas-microsoft-com:office:smarttags" w:element="place">
              <w:r w:rsidRPr="00217328">
                <w:rPr>
                  <w:rFonts w:ascii="Garamond" w:hAnsi="Garamond"/>
                  <w:b/>
                  <w:bCs/>
                  <w:caps/>
                </w:rPr>
                <w:t>Africa</w:t>
              </w:r>
            </w:smartTag>
          </w:p>
        </w:tc>
        <w:tc>
          <w:tcPr>
            <w:tcW w:w="1134" w:type="dxa"/>
            <w:shd w:val="clear" w:color="auto" w:fill="auto"/>
          </w:tcPr>
          <w:p w:rsidR="00247991" w:rsidRPr="00217328" w:rsidRDefault="00247991" w:rsidP="007A1404">
            <w:pPr>
              <w:spacing w:line="360" w:lineRule="auto"/>
              <w:jc w:val="both"/>
              <w:rPr>
                <w:rFonts w:ascii="Garamond" w:hAnsi="Garamond"/>
                <w:b/>
                <w:bCs/>
                <w:caps/>
              </w:rPr>
            </w:pPr>
            <w:r w:rsidRPr="00217328">
              <w:rPr>
                <w:rFonts w:ascii="Garamond" w:hAnsi="Garamond"/>
                <w:b/>
                <w:bCs/>
                <w:caps/>
              </w:rPr>
              <w:t>SSA</w:t>
            </w:r>
          </w:p>
        </w:tc>
        <w:tc>
          <w:tcPr>
            <w:tcW w:w="1418" w:type="dxa"/>
            <w:shd w:val="clear" w:color="auto" w:fill="auto"/>
          </w:tcPr>
          <w:p w:rsidR="00247991" w:rsidRPr="00217328" w:rsidRDefault="00247991" w:rsidP="007A1404">
            <w:pPr>
              <w:spacing w:line="360" w:lineRule="auto"/>
              <w:jc w:val="both"/>
              <w:rPr>
                <w:rFonts w:ascii="Garamond" w:hAnsi="Garamond"/>
                <w:b/>
                <w:bCs/>
                <w:caps/>
              </w:rPr>
            </w:pPr>
            <w:smartTag w:uri="urn:schemas-microsoft-com:office:smarttags" w:element="place">
              <w:r w:rsidRPr="00217328">
                <w:rPr>
                  <w:rFonts w:ascii="Garamond" w:hAnsi="Garamond"/>
                  <w:b/>
                  <w:bCs/>
                  <w:caps/>
                </w:rPr>
                <w:t>Asia</w:t>
              </w:r>
            </w:smartTag>
          </w:p>
        </w:tc>
        <w:tc>
          <w:tcPr>
            <w:tcW w:w="2544" w:type="dxa"/>
            <w:shd w:val="clear" w:color="auto" w:fill="auto"/>
          </w:tcPr>
          <w:p w:rsidR="00247991" w:rsidRPr="00217328" w:rsidRDefault="00247991" w:rsidP="007A1404">
            <w:pPr>
              <w:spacing w:line="360" w:lineRule="auto"/>
              <w:jc w:val="both"/>
              <w:rPr>
                <w:rFonts w:ascii="Garamond" w:hAnsi="Garamond"/>
                <w:b/>
                <w:bCs/>
                <w:caps/>
              </w:rPr>
            </w:pPr>
            <w:r w:rsidRPr="00217328">
              <w:rPr>
                <w:rFonts w:ascii="Garamond" w:hAnsi="Garamond"/>
                <w:b/>
                <w:bCs/>
                <w:caps/>
              </w:rPr>
              <w:t>Latin America</w:t>
            </w:r>
            <w:r w:rsidR="00AC312B" w:rsidRPr="00217328">
              <w:rPr>
                <w:rFonts w:ascii="Garamond" w:hAnsi="Garamond"/>
                <w:b/>
                <w:bCs/>
                <w:caps/>
              </w:rPr>
              <w:t xml:space="preserve"> and carribean</w:t>
            </w:r>
          </w:p>
        </w:tc>
      </w:tr>
      <w:tr w:rsidR="00247991" w:rsidRPr="00217328" w:rsidTr="00856EDD">
        <w:tc>
          <w:tcPr>
            <w:tcW w:w="2267" w:type="dxa"/>
            <w:shd w:val="clear" w:color="auto" w:fill="auto"/>
          </w:tcPr>
          <w:p w:rsidR="00247991" w:rsidRPr="00217328" w:rsidRDefault="00247991" w:rsidP="007A1404">
            <w:pPr>
              <w:spacing w:line="360" w:lineRule="auto"/>
              <w:jc w:val="both"/>
              <w:rPr>
                <w:rFonts w:ascii="Garamond" w:hAnsi="Garamond"/>
                <w:b/>
                <w:bCs/>
              </w:rPr>
            </w:pPr>
            <w:r w:rsidRPr="00217328">
              <w:rPr>
                <w:rFonts w:ascii="Garamond" w:hAnsi="Garamond"/>
                <w:b/>
                <w:bCs/>
              </w:rPr>
              <w:t>1970-79</w:t>
            </w:r>
          </w:p>
        </w:tc>
        <w:tc>
          <w:tcPr>
            <w:tcW w:w="1385" w:type="dxa"/>
            <w:shd w:val="clear" w:color="auto" w:fill="auto"/>
            <w:vAlign w:val="bottom"/>
          </w:tcPr>
          <w:p w:rsidR="00247991" w:rsidRPr="00217328" w:rsidRDefault="00247991" w:rsidP="007A1404">
            <w:pPr>
              <w:spacing w:line="360" w:lineRule="auto"/>
              <w:jc w:val="both"/>
              <w:rPr>
                <w:rFonts w:ascii="Garamond" w:hAnsi="Garamond" w:cs="Arial"/>
              </w:rPr>
            </w:pPr>
            <w:r w:rsidRPr="00217328">
              <w:rPr>
                <w:rFonts w:ascii="Garamond" w:hAnsi="Garamond" w:cs="Arial"/>
              </w:rPr>
              <w:t>5.15</w:t>
            </w:r>
          </w:p>
        </w:tc>
        <w:tc>
          <w:tcPr>
            <w:tcW w:w="1134" w:type="dxa"/>
            <w:shd w:val="clear" w:color="auto" w:fill="auto"/>
          </w:tcPr>
          <w:p w:rsidR="00247991" w:rsidRPr="00217328" w:rsidRDefault="00247991" w:rsidP="007A1404">
            <w:pPr>
              <w:spacing w:line="360" w:lineRule="auto"/>
              <w:jc w:val="both"/>
              <w:rPr>
                <w:rFonts w:ascii="Garamond" w:hAnsi="Garamond"/>
                <w:bCs/>
              </w:rPr>
            </w:pPr>
            <w:r w:rsidRPr="00217328">
              <w:rPr>
                <w:rFonts w:ascii="Garamond" w:hAnsi="Garamond"/>
                <w:bCs/>
              </w:rPr>
              <w:t>4.25</w:t>
            </w:r>
          </w:p>
        </w:tc>
        <w:tc>
          <w:tcPr>
            <w:tcW w:w="1418" w:type="dxa"/>
            <w:shd w:val="clear" w:color="auto" w:fill="auto"/>
            <w:vAlign w:val="bottom"/>
          </w:tcPr>
          <w:p w:rsidR="00247991" w:rsidRPr="00217328" w:rsidRDefault="00247991" w:rsidP="007A1404">
            <w:pPr>
              <w:spacing w:line="360" w:lineRule="auto"/>
              <w:jc w:val="both"/>
              <w:rPr>
                <w:rFonts w:ascii="Garamond" w:hAnsi="Garamond" w:cs="Arial"/>
              </w:rPr>
            </w:pPr>
            <w:r w:rsidRPr="00217328">
              <w:rPr>
                <w:rFonts w:ascii="Garamond" w:hAnsi="Garamond" w:cs="Arial"/>
              </w:rPr>
              <w:t>7.69</w:t>
            </w:r>
          </w:p>
        </w:tc>
        <w:tc>
          <w:tcPr>
            <w:tcW w:w="2544" w:type="dxa"/>
            <w:shd w:val="clear" w:color="auto" w:fill="auto"/>
            <w:vAlign w:val="bottom"/>
          </w:tcPr>
          <w:p w:rsidR="00247991" w:rsidRPr="00217328" w:rsidRDefault="00247991" w:rsidP="007A1404">
            <w:pPr>
              <w:spacing w:line="360" w:lineRule="auto"/>
              <w:jc w:val="both"/>
              <w:rPr>
                <w:rFonts w:ascii="Garamond" w:hAnsi="Garamond" w:cs="Arial"/>
              </w:rPr>
            </w:pPr>
            <w:r w:rsidRPr="00217328">
              <w:rPr>
                <w:rFonts w:ascii="Garamond" w:hAnsi="Garamond" w:cs="Arial"/>
              </w:rPr>
              <w:t>11.51</w:t>
            </w:r>
          </w:p>
        </w:tc>
      </w:tr>
      <w:tr w:rsidR="00247991" w:rsidRPr="00217328" w:rsidTr="00856EDD">
        <w:tc>
          <w:tcPr>
            <w:tcW w:w="2267" w:type="dxa"/>
            <w:shd w:val="clear" w:color="auto" w:fill="auto"/>
          </w:tcPr>
          <w:p w:rsidR="00247991" w:rsidRPr="00217328" w:rsidRDefault="00247991" w:rsidP="007A1404">
            <w:pPr>
              <w:spacing w:line="360" w:lineRule="auto"/>
              <w:jc w:val="both"/>
              <w:rPr>
                <w:rFonts w:ascii="Garamond" w:hAnsi="Garamond"/>
                <w:b/>
                <w:bCs/>
              </w:rPr>
            </w:pPr>
            <w:r w:rsidRPr="00217328">
              <w:rPr>
                <w:rFonts w:ascii="Garamond" w:hAnsi="Garamond"/>
                <w:b/>
                <w:bCs/>
              </w:rPr>
              <w:t>1980-89</w:t>
            </w:r>
          </w:p>
        </w:tc>
        <w:tc>
          <w:tcPr>
            <w:tcW w:w="1385" w:type="dxa"/>
            <w:shd w:val="clear" w:color="auto" w:fill="auto"/>
            <w:vAlign w:val="bottom"/>
          </w:tcPr>
          <w:p w:rsidR="00247991" w:rsidRPr="00217328" w:rsidRDefault="00247991" w:rsidP="007A1404">
            <w:pPr>
              <w:spacing w:line="360" w:lineRule="auto"/>
              <w:jc w:val="both"/>
              <w:rPr>
                <w:rFonts w:ascii="Garamond" w:hAnsi="Garamond" w:cs="Arial"/>
              </w:rPr>
            </w:pPr>
            <w:r w:rsidRPr="00217328">
              <w:rPr>
                <w:rFonts w:ascii="Garamond" w:hAnsi="Garamond" w:cs="Arial"/>
              </w:rPr>
              <w:t>2.51</w:t>
            </w:r>
          </w:p>
        </w:tc>
        <w:tc>
          <w:tcPr>
            <w:tcW w:w="1134" w:type="dxa"/>
            <w:shd w:val="clear" w:color="auto" w:fill="auto"/>
          </w:tcPr>
          <w:p w:rsidR="00247991" w:rsidRPr="00217328" w:rsidRDefault="00247991" w:rsidP="007A1404">
            <w:pPr>
              <w:spacing w:line="360" w:lineRule="auto"/>
              <w:jc w:val="both"/>
              <w:rPr>
                <w:rFonts w:ascii="Garamond" w:hAnsi="Garamond"/>
                <w:bCs/>
              </w:rPr>
            </w:pPr>
            <w:r w:rsidRPr="00217328">
              <w:rPr>
                <w:rFonts w:ascii="Garamond" w:hAnsi="Garamond"/>
                <w:bCs/>
              </w:rPr>
              <w:t>1.51</w:t>
            </w:r>
          </w:p>
        </w:tc>
        <w:tc>
          <w:tcPr>
            <w:tcW w:w="1418" w:type="dxa"/>
            <w:shd w:val="clear" w:color="auto" w:fill="auto"/>
            <w:vAlign w:val="bottom"/>
          </w:tcPr>
          <w:p w:rsidR="00247991" w:rsidRPr="00217328" w:rsidRDefault="00247991" w:rsidP="007A1404">
            <w:pPr>
              <w:spacing w:line="360" w:lineRule="auto"/>
              <w:jc w:val="both"/>
              <w:rPr>
                <w:rFonts w:ascii="Garamond" w:hAnsi="Garamond" w:cs="Arial"/>
              </w:rPr>
            </w:pPr>
            <w:r w:rsidRPr="00217328">
              <w:rPr>
                <w:rFonts w:ascii="Garamond" w:hAnsi="Garamond" w:cs="Arial"/>
              </w:rPr>
              <w:t>13.95</w:t>
            </w:r>
          </w:p>
        </w:tc>
        <w:tc>
          <w:tcPr>
            <w:tcW w:w="2544" w:type="dxa"/>
            <w:shd w:val="clear" w:color="auto" w:fill="auto"/>
            <w:vAlign w:val="bottom"/>
          </w:tcPr>
          <w:p w:rsidR="00247991" w:rsidRPr="00217328" w:rsidRDefault="00247991" w:rsidP="007A1404">
            <w:pPr>
              <w:spacing w:line="360" w:lineRule="auto"/>
              <w:jc w:val="both"/>
              <w:rPr>
                <w:rFonts w:ascii="Garamond" w:hAnsi="Garamond" w:cs="Arial"/>
              </w:rPr>
            </w:pPr>
            <w:r w:rsidRPr="00217328">
              <w:rPr>
                <w:rFonts w:ascii="Garamond" w:hAnsi="Garamond" w:cs="Arial"/>
              </w:rPr>
              <w:t>8.33</w:t>
            </w:r>
          </w:p>
        </w:tc>
      </w:tr>
      <w:tr w:rsidR="00247991" w:rsidRPr="00217328" w:rsidTr="00856EDD">
        <w:tc>
          <w:tcPr>
            <w:tcW w:w="2267" w:type="dxa"/>
            <w:shd w:val="clear" w:color="auto" w:fill="auto"/>
          </w:tcPr>
          <w:p w:rsidR="00247991" w:rsidRPr="00217328" w:rsidRDefault="00247991" w:rsidP="007A1404">
            <w:pPr>
              <w:spacing w:line="360" w:lineRule="auto"/>
              <w:jc w:val="both"/>
              <w:rPr>
                <w:rFonts w:ascii="Garamond" w:hAnsi="Garamond"/>
                <w:b/>
                <w:bCs/>
              </w:rPr>
            </w:pPr>
            <w:r w:rsidRPr="00217328">
              <w:rPr>
                <w:rFonts w:ascii="Garamond" w:hAnsi="Garamond"/>
                <w:b/>
                <w:bCs/>
              </w:rPr>
              <w:t>1990-1999</w:t>
            </w:r>
          </w:p>
        </w:tc>
        <w:tc>
          <w:tcPr>
            <w:tcW w:w="1385" w:type="dxa"/>
            <w:shd w:val="clear" w:color="auto" w:fill="auto"/>
            <w:vAlign w:val="bottom"/>
          </w:tcPr>
          <w:p w:rsidR="00247991" w:rsidRPr="00217328" w:rsidRDefault="00247991" w:rsidP="007A1404">
            <w:pPr>
              <w:spacing w:line="360" w:lineRule="auto"/>
              <w:jc w:val="both"/>
              <w:rPr>
                <w:rFonts w:ascii="Garamond" w:hAnsi="Garamond" w:cs="Arial"/>
              </w:rPr>
            </w:pPr>
            <w:r w:rsidRPr="00217328">
              <w:rPr>
                <w:rFonts w:ascii="Garamond" w:hAnsi="Garamond" w:cs="Arial"/>
              </w:rPr>
              <w:t>1.86</w:t>
            </w:r>
          </w:p>
        </w:tc>
        <w:tc>
          <w:tcPr>
            <w:tcW w:w="1134" w:type="dxa"/>
            <w:shd w:val="clear" w:color="auto" w:fill="auto"/>
          </w:tcPr>
          <w:p w:rsidR="00247991" w:rsidRPr="00217328" w:rsidRDefault="00247991" w:rsidP="007A1404">
            <w:pPr>
              <w:spacing w:line="360" w:lineRule="auto"/>
              <w:jc w:val="both"/>
              <w:rPr>
                <w:rFonts w:ascii="Garamond" w:hAnsi="Garamond"/>
                <w:bCs/>
              </w:rPr>
            </w:pPr>
            <w:r w:rsidRPr="00217328">
              <w:rPr>
                <w:rFonts w:ascii="Garamond" w:hAnsi="Garamond"/>
                <w:bCs/>
              </w:rPr>
              <w:t>1.2</w:t>
            </w:r>
          </w:p>
        </w:tc>
        <w:tc>
          <w:tcPr>
            <w:tcW w:w="1418" w:type="dxa"/>
            <w:shd w:val="clear" w:color="auto" w:fill="auto"/>
            <w:vAlign w:val="bottom"/>
          </w:tcPr>
          <w:p w:rsidR="00247991" w:rsidRPr="00217328" w:rsidRDefault="00247991" w:rsidP="007A1404">
            <w:pPr>
              <w:spacing w:line="360" w:lineRule="auto"/>
              <w:jc w:val="both"/>
              <w:rPr>
                <w:rFonts w:ascii="Garamond" w:hAnsi="Garamond" w:cs="Arial"/>
              </w:rPr>
            </w:pPr>
            <w:r w:rsidRPr="00217328">
              <w:rPr>
                <w:rFonts w:ascii="Garamond" w:hAnsi="Garamond" w:cs="Arial"/>
              </w:rPr>
              <w:t>19.05</w:t>
            </w:r>
          </w:p>
        </w:tc>
        <w:tc>
          <w:tcPr>
            <w:tcW w:w="2544" w:type="dxa"/>
            <w:shd w:val="clear" w:color="auto" w:fill="auto"/>
            <w:vAlign w:val="bottom"/>
          </w:tcPr>
          <w:p w:rsidR="00247991" w:rsidRPr="00217328" w:rsidRDefault="00247991" w:rsidP="007A1404">
            <w:pPr>
              <w:spacing w:line="360" w:lineRule="auto"/>
              <w:jc w:val="both"/>
              <w:rPr>
                <w:rFonts w:ascii="Garamond" w:hAnsi="Garamond" w:cs="Arial"/>
              </w:rPr>
            </w:pPr>
            <w:r w:rsidRPr="00217328">
              <w:rPr>
                <w:rFonts w:ascii="Garamond" w:hAnsi="Garamond" w:cs="Arial"/>
              </w:rPr>
              <w:t>9.72</w:t>
            </w:r>
          </w:p>
        </w:tc>
      </w:tr>
      <w:tr w:rsidR="00247991" w:rsidRPr="00217328" w:rsidTr="00856EDD">
        <w:tc>
          <w:tcPr>
            <w:tcW w:w="2267" w:type="dxa"/>
            <w:shd w:val="clear" w:color="auto" w:fill="auto"/>
          </w:tcPr>
          <w:p w:rsidR="00247991" w:rsidRPr="00217328" w:rsidRDefault="00247991" w:rsidP="007A1404">
            <w:pPr>
              <w:spacing w:line="360" w:lineRule="auto"/>
              <w:jc w:val="both"/>
              <w:rPr>
                <w:rFonts w:ascii="Garamond" w:hAnsi="Garamond"/>
                <w:b/>
                <w:bCs/>
              </w:rPr>
            </w:pPr>
            <w:r w:rsidRPr="00217328">
              <w:rPr>
                <w:rFonts w:ascii="Garamond" w:hAnsi="Garamond"/>
                <w:b/>
                <w:bCs/>
              </w:rPr>
              <w:t>2000</w:t>
            </w:r>
          </w:p>
        </w:tc>
        <w:tc>
          <w:tcPr>
            <w:tcW w:w="1385" w:type="dxa"/>
            <w:shd w:val="clear" w:color="auto" w:fill="auto"/>
            <w:vAlign w:val="bottom"/>
          </w:tcPr>
          <w:p w:rsidR="00247991" w:rsidRPr="00217328" w:rsidRDefault="00247991" w:rsidP="007A1404">
            <w:pPr>
              <w:spacing w:line="360" w:lineRule="auto"/>
              <w:jc w:val="both"/>
              <w:rPr>
                <w:rFonts w:ascii="Garamond" w:hAnsi="Garamond" w:cs="Arial"/>
              </w:rPr>
            </w:pPr>
            <w:r w:rsidRPr="00217328">
              <w:rPr>
                <w:rFonts w:ascii="Garamond" w:hAnsi="Garamond" w:cs="Arial"/>
              </w:rPr>
              <w:t>0.69</w:t>
            </w:r>
          </w:p>
        </w:tc>
        <w:tc>
          <w:tcPr>
            <w:tcW w:w="1134" w:type="dxa"/>
            <w:shd w:val="clear" w:color="auto" w:fill="auto"/>
            <w:vAlign w:val="bottom"/>
          </w:tcPr>
          <w:p w:rsidR="00247991" w:rsidRPr="00217328" w:rsidRDefault="0073299A" w:rsidP="007A1404">
            <w:pPr>
              <w:spacing w:line="360" w:lineRule="auto"/>
              <w:jc w:val="both"/>
              <w:rPr>
                <w:rFonts w:ascii="Garamond" w:hAnsi="Garamond" w:cs="Arial"/>
              </w:rPr>
            </w:pPr>
            <w:r w:rsidRPr="00217328">
              <w:rPr>
                <w:rFonts w:ascii="Garamond" w:hAnsi="Garamond" w:cs="Arial"/>
              </w:rPr>
              <w:t>0.47</w:t>
            </w:r>
          </w:p>
        </w:tc>
        <w:tc>
          <w:tcPr>
            <w:tcW w:w="1418" w:type="dxa"/>
            <w:shd w:val="clear" w:color="auto" w:fill="auto"/>
            <w:vAlign w:val="bottom"/>
          </w:tcPr>
          <w:p w:rsidR="00247991" w:rsidRPr="00217328" w:rsidRDefault="00AC312B" w:rsidP="007A1404">
            <w:pPr>
              <w:spacing w:line="360" w:lineRule="auto"/>
              <w:jc w:val="both"/>
              <w:rPr>
                <w:rFonts w:ascii="Garamond" w:hAnsi="Garamond" w:cs="Arial"/>
              </w:rPr>
            </w:pPr>
            <w:r w:rsidRPr="00217328">
              <w:rPr>
                <w:rFonts w:ascii="Garamond" w:hAnsi="Garamond" w:cs="Arial"/>
              </w:rPr>
              <w:t>10.61</w:t>
            </w:r>
          </w:p>
        </w:tc>
        <w:tc>
          <w:tcPr>
            <w:tcW w:w="2544" w:type="dxa"/>
            <w:shd w:val="clear" w:color="auto" w:fill="auto"/>
            <w:vAlign w:val="bottom"/>
          </w:tcPr>
          <w:p w:rsidR="00247991" w:rsidRPr="00217328" w:rsidRDefault="00AC312B" w:rsidP="007A1404">
            <w:pPr>
              <w:spacing w:line="360" w:lineRule="auto"/>
              <w:jc w:val="both"/>
              <w:rPr>
                <w:rFonts w:ascii="Garamond" w:hAnsi="Garamond" w:cs="Arial"/>
              </w:rPr>
            </w:pPr>
            <w:r w:rsidRPr="00217328">
              <w:rPr>
                <w:rFonts w:ascii="Garamond" w:hAnsi="Garamond" w:cs="Arial"/>
              </w:rPr>
              <w:t>7.03</w:t>
            </w:r>
          </w:p>
        </w:tc>
      </w:tr>
      <w:tr w:rsidR="00247991" w:rsidRPr="00217328" w:rsidTr="00856EDD">
        <w:tc>
          <w:tcPr>
            <w:tcW w:w="2267" w:type="dxa"/>
            <w:shd w:val="clear" w:color="auto" w:fill="auto"/>
          </w:tcPr>
          <w:p w:rsidR="00247991" w:rsidRPr="00217328" w:rsidRDefault="00247991" w:rsidP="007A1404">
            <w:pPr>
              <w:spacing w:line="360" w:lineRule="auto"/>
              <w:jc w:val="both"/>
              <w:rPr>
                <w:rFonts w:ascii="Garamond" w:hAnsi="Garamond"/>
                <w:b/>
                <w:bCs/>
              </w:rPr>
            </w:pPr>
            <w:r w:rsidRPr="00217328">
              <w:rPr>
                <w:rFonts w:ascii="Garamond" w:hAnsi="Garamond"/>
                <w:b/>
                <w:bCs/>
              </w:rPr>
              <w:t>2001</w:t>
            </w:r>
          </w:p>
        </w:tc>
        <w:tc>
          <w:tcPr>
            <w:tcW w:w="1385" w:type="dxa"/>
            <w:shd w:val="clear" w:color="auto" w:fill="auto"/>
            <w:vAlign w:val="bottom"/>
          </w:tcPr>
          <w:p w:rsidR="00247991" w:rsidRPr="00217328" w:rsidRDefault="00247991" w:rsidP="007A1404">
            <w:pPr>
              <w:spacing w:line="360" w:lineRule="auto"/>
              <w:jc w:val="both"/>
              <w:rPr>
                <w:rFonts w:ascii="Garamond" w:hAnsi="Garamond" w:cs="Arial"/>
              </w:rPr>
            </w:pPr>
            <w:r w:rsidRPr="00217328">
              <w:rPr>
                <w:rFonts w:ascii="Garamond" w:hAnsi="Garamond" w:cs="Arial"/>
              </w:rPr>
              <w:t>2.4</w:t>
            </w:r>
            <w:r w:rsidR="00AC312B" w:rsidRPr="00217328">
              <w:rPr>
                <w:rFonts w:ascii="Garamond" w:hAnsi="Garamond" w:cs="Arial"/>
              </w:rPr>
              <w:t>1</w:t>
            </w:r>
          </w:p>
        </w:tc>
        <w:tc>
          <w:tcPr>
            <w:tcW w:w="1134" w:type="dxa"/>
            <w:shd w:val="clear" w:color="auto" w:fill="auto"/>
            <w:vAlign w:val="bottom"/>
          </w:tcPr>
          <w:p w:rsidR="00247991" w:rsidRPr="00217328" w:rsidRDefault="0073299A" w:rsidP="007A1404">
            <w:pPr>
              <w:spacing w:line="360" w:lineRule="auto"/>
              <w:jc w:val="both"/>
              <w:rPr>
                <w:rFonts w:ascii="Garamond" w:hAnsi="Garamond" w:cs="Arial"/>
              </w:rPr>
            </w:pPr>
            <w:r w:rsidRPr="00217328">
              <w:rPr>
                <w:rFonts w:ascii="Garamond" w:hAnsi="Garamond" w:cs="Arial"/>
              </w:rPr>
              <w:t>1.82</w:t>
            </w:r>
          </w:p>
        </w:tc>
        <w:tc>
          <w:tcPr>
            <w:tcW w:w="1418" w:type="dxa"/>
            <w:shd w:val="clear" w:color="auto" w:fill="auto"/>
            <w:vAlign w:val="bottom"/>
          </w:tcPr>
          <w:p w:rsidR="00247991" w:rsidRPr="00217328" w:rsidRDefault="00AC312B" w:rsidP="007A1404">
            <w:pPr>
              <w:spacing w:line="360" w:lineRule="auto"/>
              <w:jc w:val="both"/>
              <w:rPr>
                <w:rFonts w:ascii="Garamond" w:hAnsi="Garamond" w:cs="Arial"/>
              </w:rPr>
            </w:pPr>
            <w:r w:rsidRPr="00217328">
              <w:rPr>
                <w:rFonts w:ascii="Garamond" w:hAnsi="Garamond" w:cs="Arial"/>
              </w:rPr>
              <w:t>13.76</w:t>
            </w:r>
          </w:p>
        </w:tc>
        <w:tc>
          <w:tcPr>
            <w:tcW w:w="2544" w:type="dxa"/>
            <w:shd w:val="clear" w:color="auto" w:fill="auto"/>
            <w:vAlign w:val="bottom"/>
          </w:tcPr>
          <w:p w:rsidR="00247991" w:rsidRPr="00217328" w:rsidRDefault="00AC312B" w:rsidP="007A1404">
            <w:pPr>
              <w:spacing w:line="360" w:lineRule="auto"/>
              <w:jc w:val="both"/>
              <w:rPr>
                <w:rFonts w:ascii="Garamond" w:hAnsi="Garamond" w:cs="Arial"/>
              </w:rPr>
            </w:pPr>
            <w:r w:rsidRPr="00217328">
              <w:rPr>
                <w:rFonts w:ascii="Garamond" w:hAnsi="Garamond" w:cs="Arial"/>
              </w:rPr>
              <w:t>9.82</w:t>
            </w:r>
          </w:p>
        </w:tc>
      </w:tr>
      <w:tr w:rsidR="00247991" w:rsidRPr="00217328" w:rsidTr="00856EDD">
        <w:tc>
          <w:tcPr>
            <w:tcW w:w="2267" w:type="dxa"/>
            <w:shd w:val="clear" w:color="auto" w:fill="auto"/>
          </w:tcPr>
          <w:p w:rsidR="00247991" w:rsidRPr="00217328" w:rsidRDefault="00247991" w:rsidP="007A1404">
            <w:pPr>
              <w:spacing w:line="360" w:lineRule="auto"/>
              <w:jc w:val="both"/>
              <w:rPr>
                <w:rFonts w:ascii="Garamond" w:hAnsi="Garamond"/>
                <w:b/>
                <w:bCs/>
              </w:rPr>
            </w:pPr>
            <w:r w:rsidRPr="00217328">
              <w:rPr>
                <w:rFonts w:ascii="Garamond" w:hAnsi="Garamond"/>
                <w:b/>
                <w:bCs/>
              </w:rPr>
              <w:t>2002</w:t>
            </w:r>
          </w:p>
        </w:tc>
        <w:tc>
          <w:tcPr>
            <w:tcW w:w="1385" w:type="dxa"/>
            <w:shd w:val="clear" w:color="auto" w:fill="auto"/>
            <w:vAlign w:val="bottom"/>
          </w:tcPr>
          <w:p w:rsidR="00247991" w:rsidRPr="00217328" w:rsidRDefault="00AC312B" w:rsidP="007A1404">
            <w:pPr>
              <w:spacing w:line="360" w:lineRule="auto"/>
              <w:jc w:val="both"/>
              <w:rPr>
                <w:rFonts w:ascii="Garamond" w:hAnsi="Garamond" w:cs="Arial"/>
              </w:rPr>
            </w:pPr>
            <w:r w:rsidRPr="00217328">
              <w:rPr>
                <w:rFonts w:ascii="Garamond" w:hAnsi="Garamond" w:cs="Arial"/>
              </w:rPr>
              <w:t>2.33</w:t>
            </w:r>
          </w:p>
        </w:tc>
        <w:tc>
          <w:tcPr>
            <w:tcW w:w="1134" w:type="dxa"/>
            <w:shd w:val="clear" w:color="auto" w:fill="auto"/>
            <w:vAlign w:val="bottom"/>
          </w:tcPr>
          <w:p w:rsidR="00247991" w:rsidRPr="00217328" w:rsidRDefault="0073299A" w:rsidP="007A1404">
            <w:pPr>
              <w:spacing w:line="360" w:lineRule="auto"/>
              <w:jc w:val="both"/>
              <w:rPr>
                <w:rFonts w:ascii="Garamond" w:hAnsi="Garamond" w:cs="Arial"/>
              </w:rPr>
            </w:pPr>
            <w:r w:rsidRPr="00217328">
              <w:rPr>
                <w:rFonts w:ascii="Garamond" w:hAnsi="Garamond" w:cs="Arial"/>
              </w:rPr>
              <w:t>1.83</w:t>
            </w:r>
          </w:p>
        </w:tc>
        <w:tc>
          <w:tcPr>
            <w:tcW w:w="1418" w:type="dxa"/>
            <w:shd w:val="clear" w:color="auto" w:fill="auto"/>
            <w:vAlign w:val="bottom"/>
          </w:tcPr>
          <w:p w:rsidR="00247991" w:rsidRPr="00217328" w:rsidRDefault="00AC312B" w:rsidP="007A1404">
            <w:pPr>
              <w:spacing w:line="360" w:lineRule="auto"/>
              <w:jc w:val="both"/>
              <w:rPr>
                <w:rFonts w:ascii="Garamond" w:hAnsi="Garamond" w:cs="Arial"/>
              </w:rPr>
            </w:pPr>
            <w:r w:rsidRPr="00217328">
              <w:rPr>
                <w:rFonts w:ascii="Garamond" w:hAnsi="Garamond" w:cs="Arial"/>
              </w:rPr>
              <w:t>15.76</w:t>
            </w:r>
          </w:p>
        </w:tc>
        <w:tc>
          <w:tcPr>
            <w:tcW w:w="2544" w:type="dxa"/>
            <w:shd w:val="clear" w:color="auto" w:fill="auto"/>
            <w:vAlign w:val="bottom"/>
          </w:tcPr>
          <w:p w:rsidR="00247991" w:rsidRPr="00217328" w:rsidRDefault="00AC312B" w:rsidP="007A1404">
            <w:pPr>
              <w:spacing w:line="360" w:lineRule="auto"/>
              <w:jc w:val="both"/>
              <w:rPr>
                <w:rFonts w:ascii="Garamond" w:hAnsi="Garamond" w:cs="Arial"/>
              </w:rPr>
            </w:pPr>
            <w:r w:rsidRPr="00217328">
              <w:rPr>
                <w:rFonts w:ascii="Garamond" w:hAnsi="Garamond" w:cs="Arial"/>
              </w:rPr>
              <w:t>9.23</w:t>
            </w:r>
          </w:p>
        </w:tc>
      </w:tr>
      <w:tr w:rsidR="0073299A" w:rsidRPr="00217328" w:rsidTr="00856EDD">
        <w:tc>
          <w:tcPr>
            <w:tcW w:w="2267" w:type="dxa"/>
            <w:shd w:val="clear" w:color="auto" w:fill="auto"/>
          </w:tcPr>
          <w:p w:rsidR="0073299A" w:rsidRPr="00217328" w:rsidRDefault="0073299A" w:rsidP="007A1404">
            <w:pPr>
              <w:spacing w:line="360" w:lineRule="auto"/>
              <w:jc w:val="both"/>
              <w:rPr>
                <w:rFonts w:ascii="Garamond" w:hAnsi="Garamond"/>
                <w:b/>
                <w:bCs/>
              </w:rPr>
            </w:pPr>
            <w:r w:rsidRPr="00217328">
              <w:rPr>
                <w:rFonts w:ascii="Garamond" w:hAnsi="Garamond"/>
                <w:b/>
                <w:bCs/>
              </w:rPr>
              <w:t>2003</w:t>
            </w:r>
          </w:p>
        </w:tc>
        <w:tc>
          <w:tcPr>
            <w:tcW w:w="1385"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3.34</w:t>
            </w:r>
          </w:p>
        </w:tc>
        <w:tc>
          <w:tcPr>
            <w:tcW w:w="1134"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2.64</w:t>
            </w:r>
          </w:p>
        </w:tc>
        <w:tc>
          <w:tcPr>
            <w:tcW w:w="1418"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20.52</w:t>
            </w:r>
          </w:p>
        </w:tc>
        <w:tc>
          <w:tcPr>
            <w:tcW w:w="2544"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8.18</w:t>
            </w:r>
          </w:p>
        </w:tc>
      </w:tr>
      <w:tr w:rsidR="0073299A" w:rsidRPr="00217328" w:rsidTr="00856EDD">
        <w:tc>
          <w:tcPr>
            <w:tcW w:w="2267" w:type="dxa"/>
            <w:shd w:val="clear" w:color="auto" w:fill="auto"/>
          </w:tcPr>
          <w:p w:rsidR="0073299A" w:rsidRPr="00217328" w:rsidRDefault="0073299A" w:rsidP="007A1404">
            <w:pPr>
              <w:spacing w:line="360" w:lineRule="auto"/>
              <w:jc w:val="both"/>
              <w:rPr>
                <w:rFonts w:ascii="Garamond" w:hAnsi="Garamond"/>
                <w:b/>
                <w:bCs/>
              </w:rPr>
            </w:pPr>
            <w:r w:rsidRPr="00217328">
              <w:rPr>
                <w:rFonts w:ascii="Garamond" w:hAnsi="Garamond"/>
                <w:b/>
                <w:bCs/>
              </w:rPr>
              <w:t>2004</w:t>
            </w:r>
          </w:p>
        </w:tc>
        <w:tc>
          <w:tcPr>
            <w:tcW w:w="1385"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2.51</w:t>
            </w:r>
          </w:p>
        </w:tc>
        <w:tc>
          <w:tcPr>
            <w:tcW w:w="1134"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1.82</w:t>
            </w:r>
          </w:p>
        </w:tc>
        <w:tc>
          <w:tcPr>
            <w:tcW w:w="1418"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23.73</w:t>
            </w:r>
          </w:p>
        </w:tc>
        <w:tc>
          <w:tcPr>
            <w:tcW w:w="2544"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13.16</w:t>
            </w:r>
          </w:p>
        </w:tc>
      </w:tr>
      <w:tr w:rsidR="0073299A" w:rsidRPr="00217328" w:rsidTr="00856EDD">
        <w:tc>
          <w:tcPr>
            <w:tcW w:w="2267" w:type="dxa"/>
            <w:shd w:val="clear" w:color="auto" w:fill="auto"/>
          </w:tcPr>
          <w:p w:rsidR="0073299A" w:rsidRPr="00217328" w:rsidRDefault="0073299A" w:rsidP="007A1404">
            <w:pPr>
              <w:spacing w:line="360" w:lineRule="auto"/>
              <w:jc w:val="both"/>
              <w:rPr>
                <w:rFonts w:ascii="Garamond" w:hAnsi="Garamond"/>
                <w:b/>
                <w:bCs/>
              </w:rPr>
            </w:pPr>
            <w:r w:rsidRPr="00217328">
              <w:rPr>
                <w:rFonts w:ascii="Garamond" w:hAnsi="Garamond"/>
                <w:b/>
                <w:bCs/>
              </w:rPr>
              <w:t>2005</w:t>
            </w:r>
          </w:p>
        </w:tc>
        <w:tc>
          <w:tcPr>
            <w:tcW w:w="1385"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3.07</w:t>
            </w:r>
          </w:p>
        </w:tc>
        <w:tc>
          <w:tcPr>
            <w:tcW w:w="1134"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2.04</w:t>
            </w:r>
          </w:p>
        </w:tc>
        <w:tc>
          <w:tcPr>
            <w:tcW w:w="1418"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21.91</w:t>
            </w:r>
          </w:p>
        </w:tc>
        <w:tc>
          <w:tcPr>
            <w:tcW w:w="2544"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7.97</w:t>
            </w:r>
          </w:p>
        </w:tc>
      </w:tr>
      <w:tr w:rsidR="0073299A" w:rsidRPr="00217328" w:rsidTr="00856EDD">
        <w:tc>
          <w:tcPr>
            <w:tcW w:w="2267" w:type="dxa"/>
            <w:shd w:val="clear" w:color="auto" w:fill="auto"/>
          </w:tcPr>
          <w:p w:rsidR="0073299A" w:rsidRPr="00217328" w:rsidRDefault="0073299A" w:rsidP="007A1404">
            <w:pPr>
              <w:spacing w:line="360" w:lineRule="auto"/>
              <w:jc w:val="both"/>
              <w:rPr>
                <w:rFonts w:ascii="Garamond" w:hAnsi="Garamond"/>
                <w:b/>
                <w:bCs/>
              </w:rPr>
            </w:pPr>
            <w:r w:rsidRPr="00217328">
              <w:rPr>
                <w:rFonts w:ascii="Garamond" w:hAnsi="Garamond"/>
                <w:b/>
                <w:bCs/>
              </w:rPr>
              <w:t>2006</w:t>
            </w:r>
          </w:p>
        </w:tc>
        <w:tc>
          <w:tcPr>
            <w:tcW w:w="1385"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3.24</w:t>
            </w:r>
          </w:p>
        </w:tc>
        <w:tc>
          <w:tcPr>
            <w:tcW w:w="1134"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1.85</w:t>
            </w:r>
          </w:p>
        </w:tc>
        <w:tc>
          <w:tcPr>
            <w:tcW w:w="1418"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19.34</w:t>
            </w:r>
          </w:p>
        </w:tc>
        <w:tc>
          <w:tcPr>
            <w:tcW w:w="2544"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6.59</w:t>
            </w:r>
          </w:p>
        </w:tc>
      </w:tr>
      <w:tr w:rsidR="0073299A" w:rsidRPr="00217328" w:rsidTr="00856EDD">
        <w:tc>
          <w:tcPr>
            <w:tcW w:w="2267" w:type="dxa"/>
            <w:shd w:val="clear" w:color="auto" w:fill="auto"/>
          </w:tcPr>
          <w:p w:rsidR="0073299A" w:rsidRPr="00217328" w:rsidRDefault="0073299A" w:rsidP="007A1404">
            <w:pPr>
              <w:spacing w:line="360" w:lineRule="auto"/>
              <w:jc w:val="both"/>
              <w:rPr>
                <w:rFonts w:ascii="Garamond" w:hAnsi="Garamond"/>
                <w:b/>
                <w:bCs/>
              </w:rPr>
            </w:pPr>
            <w:r w:rsidRPr="00217328">
              <w:rPr>
                <w:rFonts w:ascii="Garamond" w:hAnsi="Garamond"/>
                <w:b/>
                <w:bCs/>
              </w:rPr>
              <w:t>2007</w:t>
            </w:r>
          </w:p>
        </w:tc>
        <w:tc>
          <w:tcPr>
            <w:tcW w:w="1385"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2.89</w:t>
            </w:r>
          </w:p>
        </w:tc>
        <w:tc>
          <w:tcPr>
            <w:tcW w:w="1134"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1.80</w:t>
            </w:r>
          </w:p>
        </w:tc>
        <w:tc>
          <w:tcPr>
            <w:tcW w:w="1418"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17.42</w:t>
            </w:r>
          </w:p>
        </w:tc>
        <w:tc>
          <w:tcPr>
            <w:tcW w:w="2544" w:type="dxa"/>
            <w:shd w:val="clear" w:color="auto" w:fill="auto"/>
            <w:vAlign w:val="bottom"/>
          </w:tcPr>
          <w:p w:rsidR="0073299A" w:rsidRPr="00217328" w:rsidRDefault="0073299A" w:rsidP="007A1404">
            <w:pPr>
              <w:spacing w:line="360" w:lineRule="auto"/>
              <w:jc w:val="both"/>
              <w:rPr>
                <w:rFonts w:ascii="Garamond" w:hAnsi="Garamond" w:cs="Arial"/>
              </w:rPr>
            </w:pPr>
            <w:r w:rsidRPr="00217328">
              <w:rPr>
                <w:rFonts w:ascii="Garamond" w:hAnsi="Garamond" w:cs="Arial"/>
              </w:rPr>
              <w:t>6.89</w:t>
            </w:r>
          </w:p>
        </w:tc>
      </w:tr>
      <w:tr w:rsidR="000226B6" w:rsidRPr="000226B6" w:rsidTr="00856EDD">
        <w:tc>
          <w:tcPr>
            <w:tcW w:w="2267" w:type="dxa"/>
            <w:shd w:val="clear" w:color="auto" w:fill="auto"/>
          </w:tcPr>
          <w:p w:rsidR="000226B6" w:rsidRPr="000226B6" w:rsidRDefault="000226B6" w:rsidP="007A1404">
            <w:pPr>
              <w:spacing w:line="360" w:lineRule="auto"/>
              <w:jc w:val="both"/>
              <w:rPr>
                <w:rFonts w:ascii="Garamond" w:hAnsi="Garamond"/>
                <w:b/>
                <w:bCs/>
              </w:rPr>
            </w:pPr>
            <w:r w:rsidRPr="000226B6">
              <w:rPr>
                <w:rFonts w:ascii="Garamond" w:hAnsi="Garamond"/>
                <w:b/>
                <w:bCs/>
              </w:rPr>
              <w:t>2008</w:t>
            </w:r>
          </w:p>
        </w:tc>
        <w:tc>
          <w:tcPr>
            <w:tcW w:w="1385" w:type="dxa"/>
            <w:shd w:val="clear" w:color="auto" w:fill="auto"/>
            <w:vAlign w:val="bottom"/>
          </w:tcPr>
          <w:p w:rsidR="000226B6" w:rsidRPr="000226B6" w:rsidRDefault="000226B6" w:rsidP="007A1404">
            <w:pPr>
              <w:spacing w:line="360" w:lineRule="auto"/>
              <w:rPr>
                <w:rFonts w:ascii="Garamond" w:hAnsi="Garamond" w:cs="Arial"/>
              </w:rPr>
            </w:pPr>
            <w:r w:rsidRPr="000226B6">
              <w:rPr>
                <w:rFonts w:ascii="Garamond" w:hAnsi="Garamond" w:cs="Arial"/>
              </w:rPr>
              <w:t>4.08</w:t>
            </w:r>
          </w:p>
        </w:tc>
        <w:tc>
          <w:tcPr>
            <w:tcW w:w="1134" w:type="dxa"/>
            <w:shd w:val="clear" w:color="auto" w:fill="auto"/>
            <w:vAlign w:val="bottom"/>
          </w:tcPr>
          <w:p w:rsidR="000226B6" w:rsidRPr="000226B6" w:rsidRDefault="000226B6" w:rsidP="007A1404">
            <w:pPr>
              <w:spacing w:line="360" w:lineRule="auto"/>
              <w:rPr>
                <w:rFonts w:ascii="Garamond" w:hAnsi="Garamond" w:cs="Arial"/>
              </w:rPr>
            </w:pPr>
            <w:r w:rsidRPr="000226B6">
              <w:rPr>
                <w:rFonts w:ascii="Garamond" w:hAnsi="Garamond" w:cs="Arial"/>
              </w:rPr>
              <w:t>2.86</w:t>
            </w:r>
          </w:p>
        </w:tc>
        <w:tc>
          <w:tcPr>
            <w:tcW w:w="1418" w:type="dxa"/>
            <w:shd w:val="clear" w:color="auto" w:fill="auto"/>
            <w:vAlign w:val="bottom"/>
          </w:tcPr>
          <w:p w:rsidR="000226B6" w:rsidRPr="000226B6" w:rsidRDefault="000226B6" w:rsidP="007A1404">
            <w:pPr>
              <w:spacing w:line="360" w:lineRule="auto"/>
              <w:rPr>
                <w:rFonts w:ascii="Garamond" w:hAnsi="Garamond" w:cs="Arial"/>
              </w:rPr>
            </w:pPr>
            <w:r w:rsidRPr="000226B6">
              <w:rPr>
                <w:rFonts w:ascii="Garamond" w:hAnsi="Garamond" w:cs="Arial"/>
              </w:rPr>
              <w:t>21.05</w:t>
            </w:r>
          </w:p>
        </w:tc>
        <w:tc>
          <w:tcPr>
            <w:tcW w:w="2544" w:type="dxa"/>
            <w:shd w:val="clear" w:color="auto" w:fill="auto"/>
            <w:vAlign w:val="bottom"/>
          </w:tcPr>
          <w:p w:rsidR="000226B6" w:rsidRPr="000226B6" w:rsidRDefault="000226B6" w:rsidP="007A1404">
            <w:pPr>
              <w:spacing w:line="360" w:lineRule="auto"/>
              <w:rPr>
                <w:rFonts w:ascii="Garamond" w:hAnsi="Garamond" w:cs="Arial"/>
              </w:rPr>
            </w:pPr>
            <w:r w:rsidRPr="000226B6">
              <w:rPr>
                <w:rFonts w:ascii="Garamond" w:hAnsi="Garamond" w:cs="Arial"/>
              </w:rPr>
              <w:t>10.34</w:t>
            </w:r>
          </w:p>
        </w:tc>
      </w:tr>
      <w:tr w:rsidR="000226B6" w:rsidRPr="000226B6" w:rsidTr="00856EDD">
        <w:tc>
          <w:tcPr>
            <w:tcW w:w="2267" w:type="dxa"/>
            <w:shd w:val="clear" w:color="auto" w:fill="auto"/>
          </w:tcPr>
          <w:p w:rsidR="000226B6" w:rsidRPr="000226B6" w:rsidRDefault="000226B6" w:rsidP="007A1404">
            <w:pPr>
              <w:spacing w:line="360" w:lineRule="auto"/>
              <w:jc w:val="both"/>
              <w:rPr>
                <w:rFonts w:ascii="Garamond" w:hAnsi="Garamond"/>
                <w:b/>
                <w:bCs/>
              </w:rPr>
            </w:pPr>
            <w:r w:rsidRPr="000226B6">
              <w:rPr>
                <w:rFonts w:ascii="Garamond" w:hAnsi="Garamond"/>
                <w:b/>
                <w:bCs/>
              </w:rPr>
              <w:t>2009</w:t>
            </w:r>
          </w:p>
        </w:tc>
        <w:tc>
          <w:tcPr>
            <w:tcW w:w="1385" w:type="dxa"/>
            <w:shd w:val="clear" w:color="auto" w:fill="auto"/>
            <w:vAlign w:val="bottom"/>
          </w:tcPr>
          <w:p w:rsidR="000226B6" w:rsidRPr="000226B6" w:rsidRDefault="000226B6" w:rsidP="007A1404">
            <w:pPr>
              <w:spacing w:line="360" w:lineRule="auto"/>
              <w:rPr>
                <w:rFonts w:ascii="Garamond" w:hAnsi="Garamond" w:cs="Arial"/>
              </w:rPr>
            </w:pPr>
            <w:r w:rsidRPr="000226B6">
              <w:rPr>
                <w:rFonts w:ascii="Garamond" w:hAnsi="Garamond" w:cs="Arial"/>
              </w:rPr>
              <w:t>5.26</w:t>
            </w:r>
          </w:p>
        </w:tc>
        <w:tc>
          <w:tcPr>
            <w:tcW w:w="1134" w:type="dxa"/>
            <w:shd w:val="clear" w:color="auto" w:fill="auto"/>
            <w:vAlign w:val="bottom"/>
          </w:tcPr>
          <w:p w:rsidR="000226B6" w:rsidRPr="000226B6" w:rsidRDefault="000226B6" w:rsidP="007A1404">
            <w:pPr>
              <w:spacing w:line="360" w:lineRule="auto"/>
              <w:rPr>
                <w:rFonts w:ascii="Garamond" w:hAnsi="Garamond" w:cs="Arial"/>
              </w:rPr>
            </w:pPr>
            <w:r w:rsidRPr="000226B6">
              <w:rPr>
                <w:rFonts w:ascii="Garamond" w:hAnsi="Garamond" w:cs="Arial"/>
              </w:rPr>
              <w:t>3.89</w:t>
            </w:r>
          </w:p>
        </w:tc>
        <w:tc>
          <w:tcPr>
            <w:tcW w:w="1418" w:type="dxa"/>
            <w:shd w:val="clear" w:color="auto" w:fill="auto"/>
            <w:vAlign w:val="bottom"/>
          </w:tcPr>
          <w:p w:rsidR="000226B6" w:rsidRPr="000226B6" w:rsidRDefault="000226B6" w:rsidP="007A1404">
            <w:pPr>
              <w:spacing w:line="360" w:lineRule="auto"/>
              <w:rPr>
                <w:rFonts w:ascii="Garamond" w:hAnsi="Garamond" w:cs="Arial"/>
              </w:rPr>
            </w:pPr>
            <w:r w:rsidRPr="000226B6">
              <w:rPr>
                <w:rFonts w:ascii="Garamond" w:hAnsi="Garamond" w:cs="Arial"/>
              </w:rPr>
              <w:t>27.05</w:t>
            </w:r>
          </w:p>
        </w:tc>
        <w:tc>
          <w:tcPr>
            <w:tcW w:w="2544" w:type="dxa"/>
            <w:shd w:val="clear" w:color="auto" w:fill="auto"/>
            <w:vAlign w:val="bottom"/>
          </w:tcPr>
          <w:p w:rsidR="000226B6" w:rsidRPr="000226B6" w:rsidRDefault="000226B6" w:rsidP="007A1404">
            <w:pPr>
              <w:spacing w:line="360" w:lineRule="auto"/>
              <w:rPr>
                <w:rFonts w:ascii="Garamond" w:hAnsi="Garamond" w:cs="Arial"/>
              </w:rPr>
            </w:pPr>
            <w:r w:rsidRPr="000226B6">
              <w:rPr>
                <w:rFonts w:ascii="Garamond" w:hAnsi="Garamond" w:cs="Arial"/>
              </w:rPr>
              <w:t>10.46</w:t>
            </w:r>
          </w:p>
        </w:tc>
      </w:tr>
    </w:tbl>
    <w:p w:rsidR="0073299A" w:rsidRPr="00217328" w:rsidRDefault="0073299A" w:rsidP="00432C32">
      <w:pPr>
        <w:spacing w:line="360" w:lineRule="auto"/>
        <w:jc w:val="both"/>
        <w:rPr>
          <w:rFonts w:ascii="Garamond" w:hAnsi="Garamond"/>
          <w:color w:val="292526"/>
          <w:sz w:val="20"/>
          <w:szCs w:val="20"/>
        </w:rPr>
      </w:pPr>
      <w:r w:rsidRPr="00217328">
        <w:rPr>
          <w:rFonts w:ascii="Garamond" w:hAnsi="Garamond"/>
          <w:i/>
          <w:sz w:val="20"/>
          <w:szCs w:val="20"/>
        </w:rPr>
        <w:t>Source</w:t>
      </w:r>
      <w:r w:rsidRPr="00217328">
        <w:rPr>
          <w:rFonts w:ascii="Garamond" w:hAnsi="Garamond"/>
          <w:sz w:val="20"/>
          <w:szCs w:val="20"/>
        </w:rPr>
        <w:t>: UNCTAD FDI Databa</w:t>
      </w:r>
      <w:r w:rsidR="000226B6">
        <w:rPr>
          <w:rFonts w:ascii="Garamond" w:hAnsi="Garamond"/>
          <w:sz w:val="20"/>
          <w:szCs w:val="20"/>
        </w:rPr>
        <w:t>se</w:t>
      </w:r>
      <w:r w:rsidRPr="00217328">
        <w:rPr>
          <w:rFonts w:ascii="Garamond" w:hAnsi="Garamond"/>
          <w:sz w:val="20"/>
          <w:szCs w:val="20"/>
        </w:rPr>
        <w:t>.</w:t>
      </w:r>
    </w:p>
    <w:p w:rsidR="00B154D5" w:rsidRDefault="00B154D5" w:rsidP="00432C32">
      <w:pPr>
        <w:spacing w:line="360" w:lineRule="auto"/>
        <w:jc w:val="both"/>
        <w:rPr>
          <w:rFonts w:ascii="Garamond" w:hAnsi="Garamond"/>
        </w:rPr>
      </w:pPr>
    </w:p>
    <w:p w:rsidR="00247991" w:rsidRDefault="00B154D5" w:rsidP="00432C32">
      <w:pPr>
        <w:spacing w:line="360" w:lineRule="auto"/>
        <w:jc w:val="both"/>
        <w:rPr>
          <w:rFonts w:ascii="Garamond" w:hAnsi="Garamond" w:cs="Arial"/>
        </w:rPr>
      </w:pPr>
      <w:r w:rsidRPr="00856EDD">
        <w:rPr>
          <w:rFonts w:ascii="Garamond" w:hAnsi="Garamond"/>
          <w:b/>
          <w:i/>
        </w:rPr>
        <w:t>FDI flows to SSA are dominated by few countries</w:t>
      </w:r>
      <w:r w:rsidR="00247991" w:rsidRPr="00856EDD">
        <w:rPr>
          <w:rFonts w:ascii="Garamond" w:hAnsi="Garamond"/>
          <w:i/>
        </w:rPr>
        <w:tab/>
      </w:r>
      <w:r w:rsidR="00856EDD">
        <w:rPr>
          <w:rFonts w:ascii="Garamond" w:hAnsi="Garamond"/>
          <w:i/>
        </w:rPr>
        <w:t xml:space="preserve">. </w:t>
      </w:r>
      <w:r w:rsidR="00C138D6" w:rsidRPr="00217328">
        <w:rPr>
          <w:rFonts w:ascii="Garamond" w:hAnsi="Garamond" w:cs="Arial"/>
        </w:rPr>
        <w:t xml:space="preserve">FDI </w:t>
      </w:r>
      <w:r w:rsidR="00D1059C" w:rsidRPr="00217328">
        <w:rPr>
          <w:rFonts w:ascii="Garamond" w:hAnsi="Garamond" w:cs="Arial"/>
        </w:rPr>
        <w:t>i</w:t>
      </w:r>
      <w:r w:rsidR="00247991" w:rsidRPr="00217328">
        <w:rPr>
          <w:rFonts w:ascii="Garamond" w:hAnsi="Garamond" w:cs="Arial"/>
        </w:rPr>
        <w:t xml:space="preserve">nflows to the region are dominated by a few countries, </w:t>
      </w:r>
      <w:r w:rsidR="007F4852">
        <w:rPr>
          <w:rFonts w:ascii="Garamond" w:hAnsi="Garamond" w:cs="Arial"/>
        </w:rPr>
        <w:t xml:space="preserve">Angola and South Africa in the Southern, Congo Republic in the Central, Uganda and Tanzania in the Eastern and </w:t>
      </w:r>
      <w:r w:rsidR="00247991" w:rsidRPr="00217328">
        <w:rPr>
          <w:rFonts w:ascii="Garamond" w:hAnsi="Garamond" w:cs="Arial"/>
        </w:rPr>
        <w:t xml:space="preserve">Nigeria </w:t>
      </w:r>
      <w:r w:rsidR="007F4852">
        <w:rPr>
          <w:rFonts w:ascii="Garamond" w:hAnsi="Garamond" w:cs="Arial"/>
        </w:rPr>
        <w:t>by unparallel margin in the Western</w:t>
      </w:r>
      <w:r w:rsidR="00FD42B2">
        <w:rPr>
          <w:rFonts w:ascii="Garamond" w:hAnsi="Garamond" w:cs="Arial"/>
        </w:rPr>
        <w:t xml:space="preserve"> (</w:t>
      </w:r>
      <w:r w:rsidR="00C138D6" w:rsidRPr="00217328">
        <w:rPr>
          <w:rFonts w:ascii="Garamond" w:hAnsi="Garamond" w:cs="Arial"/>
        </w:rPr>
        <w:t>Table 3)</w:t>
      </w:r>
      <w:r w:rsidR="00247991" w:rsidRPr="00217328">
        <w:rPr>
          <w:rFonts w:ascii="Garamond" w:hAnsi="Garamond" w:cs="Arial"/>
        </w:rPr>
        <w:t xml:space="preserve">. </w:t>
      </w:r>
      <w:r w:rsidR="00EA4DD8">
        <w:rPr>
          <w:rFonts w:ascii="Garamond" w:hAnsi="Garamond" w:cs="Arial"/>
        </w:rPr>
        <w:t xml:space="preserve">The </w:t>
      </w:r>
      <w:r w:rsidR="004438A2">
        <w:rPr>
          <w:rFonts w:ascii="Garamond" w:hAnsi="Garamond" w:cs="Arial"/>
        </w:rPr>
        <w:t>large FDI</w:t>
      </w:r>
      <w:r w:rsidR="00EA4DD8">
        <w:rPr>
          <w:rFonts w:ascii="Garamond" w:hAnsi="Garamond" w:cs="Arial"/>
        </w:rPr>
        <w:t xml:space="preserve"> inflow in Nigeria explains the wide marginal share of the Western Africa in total FDI flows in SSA. </w:t>
      </w:r>
      <w:r w:rsidR="00247991" w:rsidRPr="00217328">
        <w:rPr>
          <w:rFonts w:ascii="Garamond" w:hAnsi="Garamond" w:cs="Arial"/>
        </w:rPr>
        <w:t>Throughout the period examined, Nigeria consistently received the highest FDI inflows, excep</w:t>
      </w:r>
      <w:r w:rsidR="00FA476F" w:rsidRPr="00217328">
        <w:rPr>
          <w:rFonts w:ascii="Garamond" w:hAnsi="Garamond" w:cs="Arial"/>
        </w:rPr>
        <w:t>t in 2003 when its total inflow</w:t>
      </w:r>
      <w:r w:rsidR="00247991" w:rsidRPr="00217328">
        <w:rPr>
          <w:rFonts w:ascii="Garamond" w:hAnsi="Garamond" w:cs="Arial"/>
        </w:rPr>
        <w:t xml:space="preserve"> of $2.1 billion was second only to that of Angola which amounted to $3.5 billion. The average </w:t>
      </w:r>
      <w:r w:rsidR="00FA476F" w:rsidRPr="00217328">
        <w:rPr>
          <w:rFonts w:ascii="Garamond" w:hAnsi="Garamond" w:cs="Arial"/>
        </w:rPr>
        <w:t xml:space="preserve">annual </w:t>
      </w:r>
      <w:r w:rsidR="00247991" w:rsidRPr="00217328">
        <w:rPr>
          <w:rFonts w:ascii="Garamond" w:hAnsi="Garamond" w:cs="Arial"/>
        </w:rPr>
        <w:t>figure for Nigeria between 1990 and 1999 was $1.5 billion</w:t>
      </w:r>
      <w:r w:rsidR="004438A2">
        <w:rPr>
          <w:rFonts w:ascii="Garamond" w:hAnsi="Garamond" w:cs="Arial"/>
        </w:rPr>
        <w:t xml:space="preserve">, </w:t>
      </w:r>
      <w:r w:rsidR="00247991" w:rsidRPr="00217328">
        <w:rPr>
          <w:rFonts w:ascii="Garamond" w:hAnsi="Garamond" w:cs="Arial"/>
        </w:rPr>
        <w:t>increas</w:t>
      </w:r>
      <w:r w:rsidR="004438A2">
        <w:rPr>
          <w:rFonts w:ascii="Garamond" w:hAnsi="Garamond" w:cs="Arial"/>
        </w:rPr>
        <w:t>ing to</w:t>
      </w:r>
      <w:r w:rsidR="00247991" w:rsidRPr="00217328">
        <w:rPr>
          <w:rFonts w:ascii="Garamond" w:hAnsi="Garamond" w:cs="Arial"/>
        </w:rPr>
        <w:t xml:space="preserve"> </w:t>
      </w:r>
      <w:r w:rsidR="004438A2">
        <w:rPr>
          <w:rFonts w:ascii="Garamond" w:hAnsi="Garamond" w:cs="Arial"/>
        </w:rPr>
        <w:t>a peak of $6.8 billion in 2008 before declining to $5.9 billion in 2009 due to the effects of the global financial crisis.</w:t>
      </w:r>
      <w:r w:rsidR="00247991" w:rsidRPr="00217328">
        <w:rPr>
          <w:rFonts w:ascii="Garamond" w:hAnsi="Garamond" w:cs="Arial"/>
        </w:rPr>
        <w:t xml:space="preserve"> FDI inflows to South Africa, though high, have been volatile. For instance, the total average annual receipts of $92 million between 1970 and 1979 increased to $850 in 1990-1999, with a further rise to $888 million in 2000. In 2001, the </w:t>
      </w:r>
      <w:r w:rsidR="00D1059C" w:rsidRPr="00217328">
        <w:rPr>
          <w:rFonts w:ascii="Garamond" w:hAnsi="Garamond" w:cs="Arial"/>
        </w:rPr>
        <w:t xml:space="preserve">South African </w:t>
      </w:r>
      <w:r w:rsidR="00247991" w:rsidRPr="00217328">
        <w:rPr>
          <w:rFonts w:ascii="Garamond" w:hAnsi="Garamond" w:cs="Arial"/>
        </w:rPr>
        <w:t xml:space="preserve">economy experienced about 800 per cent rise in FDI inflows over the previous period to peak at $6.8 billion. Thereafter, FDI inflows have been fluctuating with a serious reverse inflows standing at $323 million in 2006.  </w:t>
      </w:r>
      <w:r w:rsidR="004438A2">
        <w:rPr>
          <w:rFonts w:ascii="Garamond" w:hAnsi="Garamond" w:cs="Arial"/>
        </w:rPr>
        <w:t xml:space="preserve">The situation gradually improved to a peak of $9 billion in 2008 </w:t>
      </w:r>
      <w:r w:rsidR="004438A2">
        <w:rPr>
          <w:rFonts w:ascii="Garamond" w:hAnsi="Garamond" w:cs="Arial"/>
        </w:rPr>
        <w:lastRenderedPageBreak/>
        <w:t xml:space="preserve">before the decline to $5.7 billion in 2009. </w:t>
      </w:r>
      <w:r w:rsidR="00247991" w:rsidRPr="00217328">
        <w:rPr>
          <w:rFonts w:ascii="Garamond" w:hAnsi="Garamond" w:cs="Arial"/>
        </w:rPr>
        <w:t xml:space="preserve">Angola and Equatorial Guinea are the other major recipients of FDI inflows in SSA. </w:t>
      </w:r>
    </w:p>
    <w:p w:rsidR="00AC6F2B" w:rsidRDefault="00AC6F2B" w:rsidP="00432C32">
      <w:pPr>
        <w:spacing w:line="360" w:lineRule="auto"/>
        <w:jc w:val="both"/>
        <w:rPr>
          <w:rFonts w:ascii="Garamond" w:hAnsi="Garamond" w:cs="Arial"/>
        </w:rPr>
      </w:pPr>
    </w:p>
    <w:p w:rsidR="00247991" w:rsidRPr="00217328" w:rsidRDefault="00247991" w:rsidP="00432C32">
      <w:pPr>
        <w:pStyle w:val="Default"/>
        <w:spacing w:line="360" w:lineRule="auto"/>
        <w:jc w:val="both"/>
        <w:rPr>
          <w:rFonts w:ascii="Garamond" w:hAnsi="Garamond"/>
          <w:b/>
        </w:rPr>
      </w:pPr>
      <w:r w:rsidRPr="00217328">
        <w:rPr>
          <w:rFonts w:ascii="Garamond" w:hAnsi="Garamond"/>
          <w:b/>
        </w:rPr>
        <w:t xml:space="preserve">Table 3: FDI Inflows to </w:t>
      </w:r>
      <w:r w:rsidR="001D59EE">
        <w:rPr>
          <w:rFonts w:ascii="Garamond" w:hAnsi="Garamond"/>
          <w:b/>
        </w:rPr>
        <w:t xml:space="preserve">sub-Saharan </w:t>
      </w:r>
      <w:r w:rsidRPr="00217328">
        <w:rPr>
          <w:rFonts w:ascii="Garamond" w:hAnsi="Garamond"/>
          <w:b/>
        </w:rPr>
        <w:t>Africa, 1970-2006</w:t>
      </w:r>
      <w:r w:rsidR="00246ECB" w:rsidRPr="00217328">
        <w:rPr>
          <w:rFonts w:ascii="Garamond" w:hAnsi="Garamond"/>
          <w:b/>
        </w:rPr>
        <w:t xml:space="preserve"> (Million 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6"/>
        <w:gridCol w:w="952"/>
        <w:gridCol w:w="952"/>
        <w:gridCol w:w="952"/>
        <w:gridCol w:w="737"/>
        <w:gridCol w:w="737"/>
        <w:gridCol w:w="737"/>
        <w:gridCol w:w="737"/>
        <w:gridCol w:w="732"/>
      </w:tblGrid>
      <w:tr w:rsidR="007952CA" w:rsidRPr="00217328" w:rsidTr="00D1421A">
        <w:trPr>
          <w:trHeight w:val="273"/>
        </w:trPr>
        <w:tc>
          <w:tcPr>
            <w:tcW w:w="1312" w:type="pct"/>
            <w:vAlign w:val="center"/>
          </w:tcPr>
          <w:p w:rsidR="007952CA" w:rsidRPr="001D59EE" w:rsidRDefault="007952CA" w:rsidP="007A1404">
            <w:pPr>
              <w:pStyle w:val="Default"/>
              <w:spacing w:line="360" w:lineRule="auto"/>
              <w:jc w:val="both"/>
              <w:rPr>
                <w:rFonts w:ascii="Garamond" w:hAnsi="Garamond"/>
                <w:sz w:val="16"/>
                <w:szCs w:val="16"/>
              </w:rPr>
            </w:pPr>
            <w:r w:rsidRPr="001D59EE">
              <w:rPr>
                <w:rFonts w:ascii="Garamond" w:hAnsi="Garamond"/>
                <w:sz w:val="16"/>
                <w:szCs w:val="16"/>
              </w:rPr>
              <w:t xml:space="preserve">Region/ Country </w:t>
            </w:r>
          </w:p>
        </w:tc>
        <w:tc>
          <w:tcPr>
            <w:tcW w:w="537" w:type="pct"/>
          </w:tcPr>
          <w:p w:rsidR="007952CA" w:rsidRPr="001D59EE" w:rsidRDefault="007952CA" w:rsidP="007A1404">
            <w:pPr>
              <w:pStyle w:val="Default"/>
              <w:spacing w:line="360" w:lineRule="auto"/>
              <w:jc w:val="both"/>
              <w:rPr>
                <w:rFonts w:ascii="Garamond" w:hAnsi="Garamond"/>
                <w:b/>
                <w:sz w:val="16"/>
                <w:szCs w:val="16"/>
              </w:rPr>
            </w:pPr>
            <w:r w:rsidRPr="001D59EE">
              <w:rPr>
                <w:rFonts w:ascii="Garamond" w:hAnsi="Garamond"/>
                <w:b/>
                <w:sz w:val="16"/>
                <w:szCs w:val="16"/>
              </w:rPr>
              <w:t xml:space="preserve">1970-1979 </w:t>
            </w:r>
          </w:p>
        </w:tc>
        <w:tc>
          <w:tcPr>
            <w:tcW w:w="537" w:type="pct"/>
          </w:tcPr>
          <w:p w:rsidR="007952CA" w:rsidRPr="001D59EE" w:rsidRDefault="007952CA" w:rsidP="007A1404">
            <w:pPr>
              <w:pStyle w:val="Default"/>
              <w:spacing w:line="360" w:lineRule="auto"/>
              <w:jc w:val="both"/>
              <w:rPr>
                <w:rFonts w:ascii="Garamond" w:hAnsi="Garamond"/>
                <w:b/>
                <w:sz w:val="16"/>
                <w:szCs w:val="16"/>
              </w:rPr>
            </w:pPr>
            <w:r w:rsidRPr="001D59EE">
              <w:rPr>
                <w:rFonts w:ascii="Garamond" w:hAnsi="Garamond"/>
                <w:b/>
                <w:sz w:val="16"/>
                <w:szCs w:val="16"/>
              </w:rPr>
              <w:t xml:space="preserve">1980-1989 </w:t>
            </w:r>
          </w:p>
        </w:tc>
        <w:tc>
          <w:tcPr>
            <w:tcW w:w="537" w:type="pct"/>
          </w:tcPr>
          <w:p w:rsidR="007952CA" w:rsidRPr="001D59EE" w:rsidRDefault="007952CA" w:rsidP="007A1404">
            <w:pPr>
              <w:pStyle w:val="Default"/>
              <w:spacing w:line="360" w:lineRule="auto"/>
              <w:jc w:val="both"/>
              <w:rPr>
                <w:rFonts w:ascii="Garamond" w:hAnsi="Garamond"/>
                <w:b/>
                <w:sz w:val="16"/>
                <w:szCs w:val="16"/>
              </w:rPr>
            </w:pPr>
            <w:r w:rsidRPr="001D59EE">
              <w:rPr>
                <w:rFonts w:ascii="Garamond" w:hAnsi="Garamond"/>
                <w:b/>
                <w:sz w:val="16"/>
                <w:szCs w:val="16"/>
              </w:rPr>
              <w:t xml:space="preserve">1990-1999 </w:t>
            </w:r>
          </w:p>
        </w:tc>
        <w:tc>
          <w:tcPr>
            <w:tcW w:w="416" w:type="pct"/>
          </w:tcPr>
          <w:p w:rsidR="007952CA" w:rsidRPr="007952CA" w:rsidRDefault="007952CA" w:rsidP="007A1404">
            <w:pPr>
              <w:pStyle w:val="Default"/>
              <w:spacing w:line="360" w:lineRule="auto"/>
              <w:jc w:val="both"/>
              <w:rPr>
                <w:rFonts w:ascii="Garamond" w:hAnsi="Garamond"/>
                <w:b/>
                <w:sz w:val="16"/>
                <w:szCs w:val="16"/>
              </w:rPr>
            </w:pPr>
            <w:r>
              <w:rPr>
                <w:rFonts w:ascii="Garamond" w:hAnsi="Garamond"/>
                <w:b/>
                <w:sz w:val="16"/>
                <w:szCs w:val="16"/>
              </w:rPr>
              <w:t>2000-2005</w:t>
            </w:r>
          </w:p>
        </w:tc>
        <w:tc>
          <w:tcPr>
            <w:tcW w:w="416" w:type="pct"/>
          </w:tcPr>
          <w:p w:rsidR="007952CA" w:rsidRPr="001D59EE" w:rsidRDefault="007952CA" w:rsidP="007A1404">
            <w:pPr>
              <w:pStyle w:val="Default"/>
              <w:spacing w:line="360" w:lineRule="auto"/>
              <w:jc w:val="both"/>
              <w:rPr>
                <w:rFonts w:ascii="Garamond" w:hAnsi="Garamond"/>
                <w:b/>
                <w:sz w:val="16"/>
                <w:szCs w:val="16"/>
              </w:rPr>
            </w:pPr>
            <w:r w:rsidRPr="001D59EE">
              <w:rPr>
                <w:rFonts w:ascii="Garamond" w:hAnsi="Garamond"/>
                <w:b/>
                <w:sz w:val="16"/>
                <w:szCs w:val="16"/>
              </w:rPr>
              <w:t xml:space="preserve">2006 </w:t>
            </w:r>
          </w:p>
        </w:tc>
        <w:tc>
          <w:tcPr>
            <w:tcW w:w="416" w:type="pct"/>
          </w:tcPr>
          <w:p w:rsidR="007952CA" w:rsidRPr="001D59EE" w:rsidRDefault="007952CA" w:rsidP="007A1404">
            <w:pPr>
              <w:pStyle w:val="Default"/>
              <w:spacing w:line="360" w:lineRule="auto"/>
              <w:jc w:val="both"/>
              <w:rPr>
                <w:rFonts w:ascii="Garamond" w:hAnsi="Garamond"/>
                <w:b/>
                <w:sz w:val="16"/>
                <w:szCs w:val="16"/>
              </w:rPr>
            </w:pPr>
            <w:r>
              <w:rPr>
                <w:rFonts w:ascii="Garamond" w:hAnsi="Garamond"/>
                <w:b/>
                <w:sz w:val="16"/>
                <w:szCs w:val="16"/>
              </w:rPr>
              <w:t>2007</w:t>
            </w:r>
          </w:p>
        </w:tc>
        <w:tc>
          <w:tcPr>
            <w:tcW w:w="416" w:type="pct"/>
          </w:tcPr>
          <w:p w:rsidR="007952CA" w:rsidRPr="001D59EE" w:rsidRDefault="007952CA" w:rsidP="007A1404">
            <w:pPr>
              <w:pStyle w:val="Default"/>
              <w:spacing w:line="360" w:lineRule="auto"/>
              <w:jc w:val="both"/>
              <w:rPr>
                <w:rFonts w:ascii="Garamond" w:hAnsi="Garamond"/>
                <w:b/>
                <w:sz w:val="16"/>
                <w:szCs w:val="16"/>
              </w:rPr>
            </w:pPr>
            <w:r>
              <w:rPr>
                <w:rFonts w:ascii="Garamond" w:hAnsi="Garamond"/>
                <w:b/>
                <w:sz w:val="16"/>
                <w:szCs w:val="16"/>
              </w:rPr>
              <w:t>2008</w:t>
            </w:r>
          </w:p>
        </w:tc>
        <w:tc>
          <w:tcPr>
            <w:tcW w:w="413" w:type="pct"/>
          </w:tcPr>
          <w:p w:rsidR="007952CA" w:rsidRPr="001D59EE" w:rsidRDefault="007952CA" w:rsidP="007A1404">
            <w:pPr>
              <w:pStyle w:val="Default"/>
              <w:spacing w:line="360" w:lineRule="auto"/>
              <w:jc w:val="both"/>
              <w:rPr>
                <w:rFonts w:ascii="Garamond" w:hAnsi="Garamond"/>
                <w:b/>
                <w:sz w:val="16"/>
                <w:szCs w:val="16"/>
              </w:rPr>
            </w:pPr>
            <w:r>
              <w:rPr>
                <w:rFonts w:ascii="Garamond" w:hAnsi="Garamond"/>
                <w:b/>
                <w:sz w:val="16"/>
                <w:szCs w:val="16"/>
              </w:rPr>
              <w:t>2009</w:t>
            </w:r>
          </w:p>
        </w:tc>
      </w:tr>
      <w:tr w:rsidR="007952CA" w:rsidRPr="00217328" w:rsidTr="00D1421A">
        <w:trPr>
          <w:trHeight w:val="148"/>
        </w:trPr>
        <w:tc>
          <w:tcPr>
            <w:tcW w:w="1312" w:type="pct"/>
            <w:vAlign w:val="center"/>
          </w:tcPr>
          <w:p w:rsidR="007952CA" w:rsidRPr="001D59EE" w:rsidRDefault="007952CA" w:rsidP="007A1404">
            <w:pPr>
              <w:pStyle w:val="Default"/>
              <w:spacing w:line="360" w:lineRule="auto"/>
              <w:jc w:val="both"/>
              <w:rPr>
                <w:rFonts w:ascii="Garamond" w:hAnsi="Garamond"/>
                <w:sz w:val="16"/>
                <w:szCs w:val="16"/>
              </w:rPr>
            </w:pPr>
            <w:r w:rsidRPr="001D59EE">
              <w:rPr>
                <w:rFonts w:ascii="Garamond" w:hAnsi="Garamond"/>
                <w:b/>
                <w:bCs/>
                <w:sz w:val="16"/>
                <w:szCs w:val="16"/>
              </w:rPr>
              <w:t xml:space="preserve">Sub-Sahara Africa </w:t>
            </w:r>
          </w:p>
        </w:tc>
        <w:tc>
          <w:tcPr>
            <w:tcW w:w="537" w:type="pct"/>
            <w:vAlign w:val="center"/>
          </w:tcPr>
          <w:p w:rsidR="007952CA" w:rsidRPr="001D59EE" w:rsidRDefault="007952CA" w:rsidP="007A1404">
            <w:pPr>
              <w:pStyle w:val="Default"/>
              <w:spacing w:line="360" w:lineRule="auto"/>
              <w:jc w:val="both"/>
              <w:rPr>
                <w:rFonts w:ascii="Garamond" w:hAnsi="Garamond"/>
                <w:sz w:val="16"/>
                <w:szCs w:val="16"/>
              </w:rPr>
            </w:pPr>
            <w:r w:rsidRPr="001D59EE">
              <w:rPr>
                <w:rFonts w:ascii="Garamond" w:hAnsi="Garamond"/>
                <w:b/>
                <w:bCs/>
                <w:sz w:val="16"/>
                <w:szCs w:val="16"/>
              </w:rPr>
              <w:t xml:space="preserve">940 </w:t>
            </w:r>
          </w:p>
        </w:tc>
        <w:tc>
          <w:tcPr>
            <w:tcW w:w="537" w:type="pct"/>
            <w:vAlign w:val="center"/>
          </w:tcPr>
          <w:p w:rsidR="007952CA" w:rsidRPr="001D59EE" w:rsidRDefault="007952CA" w:rsidP="007A1404">
            <w:pPr>
              <w:pStyle w:val="Default"/>
              <w:spacing w:line="360" w:lineRule="auto"/>
              <w:jc w:val="both"/>
              <w:rPr>
                <w:rFonts w:ascii="Garamond" w:hAnsi="Garamond"/>
                <w:sz w:val="16"/>
                <w:szCs w:val="16"/>
              </w:rPr>
            </w:pPr>
            <w:r w:rsidRPr="001D59EE">
              <w:rPr>
                <w:rFonts w:ascii="Garamond" w:hAnsi="Garamond"/>
                <w:b/>
                <w:bCs/>
                <w:sz w:val="16"/>
                <w:szCs w:val="16"/>
              </w:rPr>
              <w:t xml:space="preserve">1 307 </w:t>
            </w:r>
          </w:p>
        </w:tc>
        <w:tc>
          <w:tcPr>
            <w:tcW w:w="537" w:type="pct"/>
            <w:vAlign w:val="center"/>
          </w:tcPr>
          <w:p w:rsidR="007952CA" w:rsidRPr="001D59EE" w:rsidRDefault="007952CA" w:rsidP="007A1404">
            <w:pPr>
              <w:pStyle w:val="Default"/>
              <w:spacing w:line="360" w:lineRule="auto"/>
              <w:jc w:val="both"/>
              <w:rPr>
                <w:rFonts w:ascii="Garamond" w:hAnsi="Garamond"/>
                <w:sz w:val="16"/>
                <w:szCs w:val="16"/>
              </w:rPr>
            </w:pPr>
            <w:r w:rsidRPr="001D59EE">
              <w:rPr>
                <w:rFonts w:ascii="Garamond" w:hAnsi="Garamond"/>
                <w:b/>
                <w:bCs/>
                <w:sz w:val="16"/>
                <w:szCs w:val="16"/>
              </w:rPr>
              <w:t xml:space="preserve">4 585 </w:t>
            </w:r>
          </w:p>
        </w:tc>
        <w:tc>
          <w:tcPr>
            <w:tcW w:w="416" w:type="pct"/>
            <w:vAlign w:val="bottom"/>
          </w:tcPr>
          <w:p w:rsidR="007952CA" w:rsidRPr="007952CA" w:rsidRDefault="007952CA" w:rsidP="007A1404">
            <w:pPr>
              <w:spacing w:line="360" w:lineRule="auto"/>
              <w:jc w:val="right"/>
              <w:rPr>
                <w:rFonts w:ascii="Garamond" w:hAnsi="Garamond"/>
                <w:color w:val="000000"/>
                <w:sz w:val="16"/>
                <w:szCs w:val="16"/>
              </w:rPr>
            </w:pPr>
            <w:r w:rsidRPr="007952CA">
              <w:rPr>
                <w:rFonts w:ascii="Garamond" w:hAnsi="Garamond"/>
                <w:color w:val="000000"/>
                <w:sz w:val="16"/>
                <w:szCs w:val="16"/>
              </w:rPr>
              <w:t>11858</w:t>
            </w:r>
          </w:p>
        </w:tc>
        <w:tc>
          <w:tcPr>
            <w:tcW w:w="416" w:type="pct"/>
            <w:vAlign w:val="center"/>
          </w:tcPr>
          <w:p w:rsidR="007952CA" w:rsidRPr="001D59EE" w:rsidRDefault="007952CA" w:rsidP="007A1404">
            <w:pPr>
              <w:pStyle w:val="Default"/>
              <w:spacing w:line="360" w:lineRule="auto"/>
              <w:jc w:val="both"/>
              <w:rPr>
                <w:rFonts w:ascii="Garamond" w:hAnsi="Garamond"/>
                <w:sz w:val="16"/>
                <w:szCs w:val="16"/>
              </w:rPr>
            </w:pPr>
            <w:r w:rsidRPr="001D59EE">
              <w:rPr>
                <w:rFonts w:ascii="Garamond" w:hAnsi="Garamond"/>
                <w:b/>
                <w:bCs/>
                <w:sz w:val="16"/>
                <w:szCs w:val="16"/>
              </w:rPr>
              <w:t xml:space="preserve">12 221 </w:t>
            </w:r>
          </w:p>
        </w:tc>
        <w:tc>
          <w:tcPr>
            <w:tcW w:w="416" w:type="pct"/>
          </w:tcPr>
          <w:p w:rsidR="007952CA" w:rsidRPr="001D59EE" w:rsidRDefault="007952CA" w:rsidP="007A1404">
            <w:pPr>
              <w:pStyle w:val="Default"/>
              <w:spacing w:line="360" w:lineRule="auto"/>
              <w:jc w:val="both"/>
              <w:rPr>
                <w:rFonts w:ascii="Garamond" w:hAnsi="Garamond"/>
                <w:b/>
                <w:bCs/>
                <w:sz w:val="16"/>
                <w:szCs w:val="16"/>
              </w:rPr>
            </w:pPr>
          </w:p>
        </w:tc>
        <w:tc>
          <w:tcPr>
            <w:tcW w:w="416" w:type="pct"/>
          </w:tcPr>
          <w:p w:rsidR="007952CA" w:rsidRPr="001D59EE" w:rsidRDefault="007952CA" w:rsidP="007A1404">
            <w:pPr>
              <w:pStyle w:val="Default"/>
              <w:spacing w:line="360" w:lineRule="auto"/>
              <w:jc w:val="both"/>
              <w:rPr>
                <w:rFonts w:ascii="Garamond" w:hAnsi="Garamond"/>
                <w:b/>
                <w:bCs/>
                <w:sz w:val="16"/>
                <w:szCs w:val="16"/>
              </w:rPr>
            </w:pPr>
          </w:p>
        </w:tc>
        <w:tc>
          <w:tcPr>
            <w:tcW w:w="413" w:type="pct"/>
          </w:tcPr>
          <w:p w:rsidR="007952CA" w:rsidRPr="001D59EE" w:rsidRDefault="007952CA" w:rsidP="007A1404">
            <w:pPr>
              <w:pStyle w:val="Default"/>
              <w:spacing w:line="360" w:lineRule="auto"/>
              <w:jc w:val="both"/>
              <w:rPr>
                <w:rFonts w:ascii="Garamond" w:hAnsi="Garamond"/>
                <w:b/>
                <w:bCs/>
                <w:sz w:val="16"/>
                <w:szCs w:val="16"/>
              </w:rPr>
            </w:pPr>
          </w:p>
        </w:tc>
      </w:tr>
      <w:tr w:rsidR="00D1421A" w:rsidRPr="0022667A" w:rsidTr="00D1421A">
        <w:trPr>
          <w:trHeight w:val="150"/>
        </w:trPr>
        <w:tc>
          <w:tcPr>
            <w:tcW w:w="1312" w:type="pct"/>
            <w:vAlign w:val="center"/>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 xml:space="preserve">West Africa </w:t>
            </w:r>
          </w:p>
        </w:tc>
        <w:tc>
          <w:tcPr>
            <w:tcW w:w="537" w:type="pct"/>
            <w:vAlign w:val="center"/>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 xml:space="preserve">520 </w:t>
            </w:r>
          </w:p>
        </w:tc>
        <w:tc>
          <w:tcPr>
            <w:tcW w:w="537" w:type="pct"/>
            <w:vAlign w:val="center"/>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 xml:space="preserve">705 </w:t>
            </w:r>
          </w:p>
        </w:tc>
        <w:tc>
          <w:tcPr>
            <w:tcW w:w="537" w:type="pct"/>
            <w:vAlign w:val="center"/>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 xml:space="preserve">2 086 </w:t>
            </w:r>
          </w:p>
        </w:tc>
        <w:tc>
          <w:tcPr>
            <w:tcW w:w="416" w:type="pct"/>
            <w:vAlign w:val="bottom"/>
          </w:tcPr>
          <w:p w:rsidR="00D1421A" w:rsidRPr="0022667A" w:rsidRDefault="00D1421A" w:rsidP="007A1404">
            <w:pPr>
              <w:spacing w:line="360" w:lineRule="auto"/>
              <w:jc w:val="right"/>
              <w:rPr>
                <w:rFonts w:ascii="Garamond" w:hAnsi="Garamond"/>
                <w:b/>
                <w:color w:val="000000"/>
                <w:sz w:val="16"/>
                <w:szCs w:val="16"/>
              </w:rPr>
            </w:pPr>
            <w:r w:rsidRPr="0022667A">
              <w:rPr>
                <w:rFonts w:ascii="Garamond" w:hAnsi="Garamond"/>
                <w:b/>
                <w:color w:val="000000"/>
                <w:sz w:val="16"/>
                <w:szCs w:val="16"/>
              </w:rPr>
              <w:t>3209</w:t>
            </w:r>
          </w:p>
        </w:tc>
        <w:tc>
          <w:tcPr>
            <w:tcW w:w="416" w:type="pct"/>
            <w:vAlign w:val="center"/>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 xml:space="preserve">6 841 </w:t>
            </w:r>
          </w:p>
        </w:tc>
        <w:tc>
          <w:tcPr>
            <w:tcW w:w="416" w:type="pct"/>
            <w:vAlign w:val="bottom"/>
          </w:tcPr>
          <w:p w:rsidR="00D1421A" w:rsidRPr="0022667A" w:rsidRDefault="00D1421A" w:rsidP="007A1404">
            <w:pPr>
              <w:spacing w:line="360" w:lineRule="auto"/>
              <w:jc w:val="right"/>
              <w:rPr>
                <w:rFonts w:ascii="Garamond" w:hAnsi="Garamond" w:cs="Arial"/>
                <w:b/>
                <w:sz w:val="16"/>
                <w:szCs w:val="16"/>
              </w:rPr>
            </w:pPr>
            <w:r w:rsidRPr="0022667A">
              <w:rPr>
                <w:rFonts w:ascii="Garamond" w:hAnsi="Garamond" w:cs="Arial"/>
                <w:b/>
                <w:sz w:val="16"/>
                <w:szCs w:val="16"/>
              </w:rPr>
              <w:t>9 528</w:t>
            </w:r>
          </w:p>
        </w:tc>
        <w:tc>
          <w:tcPr>
            <w:tcW w:w="416" w:type="pct"/>
            <w:vAlign w:val="bottom"/>
          </w:tcPr>
          <w:p w:rsidR="00D1421A" w:rsidRPr="0022667A" w:rsidRDefault="00D1421A" w:rsidP="007A1404">
            <w:pPr>
              <w:spacing w:line="360" w:lineRule="auto"/>
              <w:jc w:val="right"/>
              <w:rPr>
                <w:rFonts w:ascii="Garamond" w:hAnsi="Garamond" w:cs="Arial"/>
                <w:b/>
                <w:sz w:val="16"/>
                <w:szCs w:val="16"/>
              </w:rPr>
            </w:pPr>
            <w:r w:rsidRPr="0022667A">
              <w:rPr>
                <w:rFonts w:ascii="Garamond" w:hAnsi="Garamond" w:cs="Arial"/>
                <w:b/>
                <w:sz w:val="16"/>
                <w:szCs w:val="16"/>
              </w:rPr>
              <w:t>11 131</w:t>
            </w:r>
          </w:p>
        </w:tc>
        <w:tc>
          <w:tcPr>
            <w:tcW w:w="413" w:type="pct"/>
            <w:vAlign w:val="bottom"/>
          </w:tcPr>
          <w:p w:rsidR="00D1421A" w:rsidRPr="0022667A" w:rsidRDefault="00D1421A" w:rsidP="007A1404">
            <w:pPr>
              <w:spacing w:line="360" w:lineRule="auto"/>
              <w:jc w:val="right"/>
              <w:rPr>
                <w:rFonts w:ascii="Garamond" w:hAnsi="Garamond" w:cs="Arial"/>
                <w:b/>
                <w:sz w:val="16"/>
                <w:szCs w:val="16"/>
              </w:rPr>
            </w:pPr>
            <w:r w:rsidRPr="0022667A">
              <w:rPr>
                <w:rFonts w:ascii="Garamond" w:hAnsi="Garamond" w:cs="Arial"/>
                <w:b/>
                <w:sz w:val="16"/>
                <w:szCs w:val="16"/>
              </w:rPr>
              <w:t>10 009</w:t>
            </w:r>
          </w:p>
        </w:tc>
      </w:tr>
      <w:tr w:rsidR="00D1421A" w:rsidRPr="00217328" w:rsidTr="00454C6F">
        <w:trPr>
          <w:trHeight w:val="148"/>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Benin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3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7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38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47</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63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261</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174</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93</w:t>
            </w:r>
          </w:p>
        </w:tc>
      </w:tr>
      <w:tr w:rsidR="00D1421A" w:rsidRPr="00217328" w:rsidTr="00454C6F">
        <w:trPr>
          <w:trHeight w:val="148"/>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Burkina Faso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2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2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7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20</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26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344</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137</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171</w:t>
            </w:r>
          </w:p>
        </w:tc>
      </w:tr>
      <w:tr w:rsidR="00D1421A" w:rsidRPr="00217328" w:rsidTr="00454C6F">
        <w:trPr>
          <w:trHeight w:val="158"/>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Cape Verde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14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29</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122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190</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212</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120</w:t>
            </w:r>
          </w:p>
        </w:tc>
      </w:tr>
      <w:tr w:rsidR="00D1421A" w:rsidRPr="00217328" w:rsidTr="00454C6F">
        <w:trPr>
          <w:trHeight w:val="135"/>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Côte d' Ivoire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44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49</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203</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247</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253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427</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482</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409</w:t>
            </w:r>
          </w:p>
        </w:tc>
      </w:tr>
      <w:tr w:rsidR="00D1421A" w:rsidRPr="00217328" w:rsidTr="00454C6F">
        <w:trPr>
          <w:trHeight w:val="148"/>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Gambia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2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2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18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39</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70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76</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70</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47</w:t>
            </w:r>
          </w:p>
        </w:tc>
      </w:tr>
      <w:tr w:rsidR="00D1421A" w:rsidRPr="00217328" w:rsidTr="00454C6F">
        <w:trPr>
          <w:trHeight w:val="148"/>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Ghana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22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9</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102</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123</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435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855</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1220</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1685</w:t>
            </w:r>
          </w:p>
        </w:tc>
      </w:tr>
      <w:tr w:rsidR="00D1421A" w:rsidRPr="00217328" w:rsidTr="00454C6F">
        <w:trPr>
          <w:trHeight w:val="145"/>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Guinea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0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5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20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54</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108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386</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382</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141</w:t>
            </w:r>
          </w:p>
        </w:tc>
      </w:tr>
      <w:tr w:rsidR="00D1421A" w:rsidRPr="00217328" w:rsidTr="00454C6F">
        <w:trPr>
          <w:trHeight w:val="148"/>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Guinea-Bissau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0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3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3</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42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19</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6</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14</w:t>
            </w:r>
          </w:p>
        </w:tc>
      </w:tr>
      <w:tr w:rsidR="00D1421A" w:rsidRPr="00217328" w:rsidTr="00454C6F">
        <w:trPr>
          <w:trHeight w:val="148"/>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Liberia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80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171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72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27</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-82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132</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200</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378</w:t>
            </w:r>
          </w:p>
        </w:tc>
      </w:tr>
      <w:tr w:rsidR="00D1421A" w:rsidRPr="00217328" w:rsidTr="00454C6F">
        <w:trPr>
          <w:trHeight w:val="148"/>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Mali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2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2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24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151</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185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65</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180</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109</w:t>
            </w:r>
          </w:p>
        </w:tc>
      </w:tr>
      <w:tr w:rsidR="00D1421A" w:rsidRPr="00217328" w:rsidTr="00454C6F">
        <w:trPr>
          <w:trHeight w:val="148"/>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Mauritania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-3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8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5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257</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-3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138</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338</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-38</w:t>
            </w:r>
          </w:p>
        </w:tc>
      </w:tr>
      <w:tr w:rsidR="00D1421A" w:rsidRPr="00217328" w:rsidTr="00454C6F">
        <w:trPr>
          <w:trHeight w:val="158"/>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Niger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14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10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10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16</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20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129</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566</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739</w:t>
            </w:r>
          </w:p>
        </w:tc>
      </w:tr>
      <w:tr w:rsidR="00D1421A" w:rsidRPr="00217328" w:rsidTr="00454C6F">
        <w:trPr>
          <w:trHeight w:val="148"/>
        </w:trPr>
        <w:tc>
          <w:tcPr>
            <w:tcW w:w="1312" w:type="pct"/>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Nigeria </w:t>
            </w:r>
          </w:p>
        </w:tc>
        <w:tc>
          <w:tcPr>
            <w:tcW w:w="537" w:type="pct"/>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320 </w:t>
            </w:r>
          </w:p>
        </w:tc>
        <w:tc>
          <w:tcPr>
            <w:tcW w:w="537" w:type="pct"/>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434 </w:t>
            </w:r>
          </w:p>
        </w:tc>
        <w:tc>
          <w:tcPr>
            <w:tcW w:w="537" w:type="pct"/>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1 494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2055</w:t>
            </w:r>
          </w:p>
        </w:tc>
        <w:tc>
          <w:tcPr>
            <w:tcW w:w="416" w:type="pct"/>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5 445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6087</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6814</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5851</w:t>
            </w:r>
          </w:p>
        </w:tc>
      </w:tr>
      <w:tr w:rsidR="00D1421A" w:rsidRPr="00217328" w:rsidTr="00454C6F">
        <w:trPr>
          <w:trHeight w:val="158"/>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Senegal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14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7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57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58</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58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273</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272</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208</w:t>
            </w:r>
          </w:p>
        </w:tc>
      </w:tr>
      <w:tr w:rsidR="00D1421A" w:rsidRPr="00217328" w:rsidTr="00454C6F">
        <w:trPr>
          <w:trHeight w:val="135"/>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Sierra Leone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10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-13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3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31</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43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97</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53</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33</w:t>
            </w:r>
          </w:p>
        </w:tc>
      </w:tr>
      <w:tr w:rsidR="00D1421A" w:rsidRPr="00217328" w:rsidTr="00454C6F">
        <w:trPr>
          <w:trHeight w:val="155"/>
        </w:trPr>
        <w:tc>
          <w:tcPr>
            <w:tcW w:w="1312"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Togo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13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11 </w:t>
            </w:r>
          </w:p>
        </w:tc>
        <w:tc>
          <w:tcPr>
            <w:tcW w:w="537"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14 </w:t>
            </w:r>
          </w:p>
        </w:tc>
        <w:tc>
          <w:tcPr>
            <w:tcW w:w="416" w:type="pct"/>
            <w:vAlign w:val="bottom"/>
          </w:tcPr>
          <w:p w:rsidR="00D1421A" w:rsidRPr="007952CA" w:rsidRDefault="00D1421A" w:rsidP="007A1404">
            <w:pPr>
              <w:spacing w:line="360" w:lineRule="auto"/>
              <w:jc w:val="right"/>
              <w:rPr>
                <w:rFonts w:ascii="Garamond" w:hAnsi="Garamond"/>
                <w:color w:val="000000"/>
                <w:sz w:val="16"/>
                <w:szCs w:val="16"/>
              </w:rPr>
            </w:pPr>
            <w:r w:rsidRPr="007952CA">
              <w:rPr>
                <w:rFonts w:ascii="Garamond" w:hAnsi="Garamond"/>
                <w:color w:val="000000"/>
                <w:sz w:val="16"/>
                <w:szCs w:val="16"/>
              </w:rPr>
              <w:t>55</w:t>
            </w:r>
          </w:p>
        </w:tc>
        <w:tc>
          <w:tcPr>
            <w:tcW w:w="416" w:type="pct"/>
            <w:vAlign w:val="center"/>
          </w:tcPr>
          <w:p w:rsidR="00D1421A" w:rsidRPr="001D59EE" w:rsidRDefault="00D1421A" w:rsidP="007A1404">
            <w:pPr>
              <w:pStyle w:val="Default"/>
              <w:spacing w:line="360" w:lineRule="auto"/>
              <w:jc w:val="both"/>
              <w:rPr>
                <w:rFonts w:ascii="Garamond" w:hAnsi="Garamond"/>
                <w:sz w:val="16"/>
                <w:szCs w:val="16"/>
              </w:rPr>
            </w:pPr>
            <w:r w:rsidRPr="001D59EE">
              <w:rPr>
                <w:rFonts w:ascii="Garamond" w:hAnsi="Garamond"/>
                <w:sz w:val="16"/>
                <w:szCs w:val="16"/>
              </w:rPr>
              <w:t xml:space="preserve">57 </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49</w:t>
            </w:r>
          </w:p>
        </w:tc>
        <w:tc>
          <w:tcPr>
            <w:tcW w:w="416"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24</w:t>
            </w:r>
          </w:p>
        </w:tc>
        <w:tc>
          <w:tcPr>
            <w:tcW w:w="413" w:type="pct"/>
            <w:vAlign w:val="bottom"/>
          </w:tcPr>
          <w:p w:rsidR="00D1421A" w:rsidRDefault="00D1421A" w:rsidP="007A1404">
            <w:pPr>
              <w:spacing w:line="360" w:lineRule="auto"/>
              <w:jc w:val="right"/>
              <w:rPr>
                <w:rFonts w:ascii="Garamond" w:hAnsi="Garamond" w:cs="Arial"/>
                <w:sz w:val="16"/>
                <w:szCs w:val="16"/>
              </w:rPr>
            </w:pPr>
            <w:r>
              <w:rPr>
                <w:rFonts w:ascii="Garamond" w:hAnsi="Garamond" w:cs="Arial"/>
                <w:sz w:val="16"/>
                <w:szCs w:val="16"/>
              </w:rPr>
              <w:t>50</w:t>
            </w:r>
          </w:p>
        </w:tc>
      </w:tr>
      <w:tr w:rsidR="00D1421A" w:rsidRPr="0022667A" w:rsidTr="00454C6F">
        <w:trPr>
          <w:trHeight w:val="135"/>
        </w:trPr>
        <w:tc>
          <w:tcPr>
            <w:tcW w:w="1312" w:type="pct"/>
            <w:vAlign w:val="center"/>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 xml:space="preserve">Central Africa </w:t>
            </w:r>
          </w:p>
        </w:tc>
        <w:tc>
          <w:tcPr>
            <w:tcW w:w="537" w:type="pct"/>
            <w:vAlign w:val="center"/>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 xml:space="preserve">176 </w:t>
            </w:r>
          </w:p>
        </w:tc>
        <w:tc>
          <w:tcPr>
            <w:tcW w:w="537" w:type="pct"/>
            <w:vAlign w:val="center"/>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223</w:t>
            </w:r>
          </w:p>
        </w:tc>
        <w:tc>
          <w:tcPr>
            <w:tcW w:w="537" w:type="pct"/>
            <w:vAlign w:val="center"/>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146</w:t>
            </w:r>
          </w:p>
        </w:tc>
        <w:tc>
          <w:tcPr>
            <w:tcW w:w="416" w:type="pct"/>
            <w:vAlign w:val="bottom"/>
          </w:tcPr>
          <w:p w:rsidR="00D1421A" w:rsidRPr="0022667A" w:rsidRDefault="00D1421A" w:rsidP="007A1404">
            <w:pPr>
              <w:spacing w:line="360" w:lineRule="auto"/>
              <w:jc w:val="right"/>
              <w:rPr>
                <w:rFonts w:ascii="Garamond" w:hAnsi="Garamond"/>
                <w:b/>
                <w:color w:val="000000"/>
                <w:sz w:val="16"/>
                <w:szCs w:val="16"/>
              </w:rPr>
            </w:pPr>
            <w:r w:rsidRPr="0022667A">
              <w:rPr>
                <w:rFonts w:ascii="Garamond" w:hAnsi="Garamond"/>
                <w:b/>
                <w:color w:val="000000"/>
                <w:sz w:val="16"/>
                <w:szCs w:val="16"/>
              </w:rPr>
              <w:t>552</w:t>
            </w:r>
          </w:p>
        </w:tc>
        <w:tc>
          <w:tcPr>
            <w:tcW w:w="416" w:type="pct"/>
            <w:vAlign w:val="center"/>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 xml:space="preserve">3 786 </w:t>
            </w:r>
          </w:p>
        </w:tc>
        <w:tc>
          <w:tcPr>
            <w:tcW w:w="416" w:type="pct"/>
            <w:vAlign w:val="bottom"/>
          </w:tcPr>
          <w:p w:rsidR="00D1421A" w:rsidRPr="0022667A" w:rsidRDefault="00D1421A" w:rsidP="007A1404">
            <w:pPr>
              <w:spacing w:line="360" w:lineRule="auto"/>
              <w:jc w:val="right"/>
              <w:rPr>
                <w:rFonts w:ascii="Garamond" w:hAnsi="Garamond" w:cs="Arial"/>
                <w:b/>
                <w:sz w:val="16"/>
                <w:szCs w:val="16"/>
              </w:rPr>
            </w:pPr>
            <w:r w:rsidRPr="0022667A">
              <w:rPr>
                <w:rFonts w:ascii="Garamond" w:hAnsi="Garamond" w:cs="Arial"/>
                <w:b/>
                <w:sz w:val="16"/>
                <w:szCs w:val="16"/>
              </w:rPr>
              <w:t>15 698</w:t>
            </w:r>
          </w:p>
        </w:tc>
        <w:tc>
          <w:tcPr>
            <w:tcW w:w="416" w:type="pct"/>
            <w:vAlign w:val="bottom"/>
          </w:tcPr>
          <w:p w:rsidR="00D1421A" w:rsidRPr="0022667A" w:rsidRDefault="00D1421A" w:rsidP="007A1404">
            <w:pPr>
              <w:spacing w:line="360" w:lineRule="auto"/>
              <w:jc w:val="right"/>
              <w:rPr>
                <w:rFonts w:ascii="Garamond" w:hAnsi="Garamond" w:cs="Arial"/>
                <w:b/>
                <w:sz w:val="16"/>
                <w:szCs w:val="16"/>
              </w:rPr>
            </w:pPr>
            <w:r w:rsidRPr="0022667A">
              <w:rPr>
                <w:rFonts w:ascii="Garamond" w:hAnsi="Garamond" w:cs="Arial"/>
                <w:b/>
                <w:sz w:val="16"/>
                <w:szCs w:val="16"/>
              </w:rPr>
              <w:t>20 859</w:t>
            </w:r>
          </w:p>
        </w:tc>
        <w:tc>
          <w:tcPr>
            <w:tcW w:w="413" w:type="pct"/>
            <w:vAlign w:val="bottom"/>
          </w:tcPr>
          <w:p w:rsidR="00D1421A" w:rsidRPr="0022667A" w:rsidRDefault="00D1421A" w:rsidP="007A1404">
            <w:pPr>
              <w:spacing w:line="360" w:lineRule="auto"/>
              <w:jc w:val="right"/>
              <w:rPr>
                <w:rFonts w:ascii="Garamond" w:hAnsi="Garamond" w:cs="Arial"/>
                <w:b/>
                <w:sz w:val="16"/>
                <w:szCs w:val="16"/>
              </w:rPr>
            </w:pPr>
            <w:r w:rsidRPr="0022667A">
              <w:rPr>
                <w:rFonts w:ascii="Garamond" w:hAnsi="Garamond" w:cs="Arial"/>
                <w:b/>
                <w:sz w:val="16"/>
                <w:szCs w:val="16"/>
              </w:rPr>
              <w:t>18 682</w:t>
            </w:r>
          </w:p>
        </w:tc>
      </w:tr>
      <w:tr w:rsidR="00D27889" w:rsidRPr="00217328" w:rsidTr="00454C6F">
        <w:trPr>
          <w:trHeight w:val="148"/>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Burundi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0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2</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290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14</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10</w:t>
            </w:r>
          </w:p>
        </w:tc>
      </w:tr>
      <w:tr w:rsidR="00D27889" w:rsidRPr="00217328" w:rsidTr="00454C6F">
        <w:trPr>
          <w:trHeight w:val="148"/>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Cameroon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20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96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28</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294</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309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284</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270</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337</w:t>
            </w:r>
          </w:p>
        </w:tc>
      </w:tr>
      <w:tr w:rsidR="00D27889" w:rsidRPr="00217328" w:rsidTr="00454C6F">
        <w:trPr>
          <w:trHeight w:val="158"/>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Central African Republic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4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5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14</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24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57</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117</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42</w:t>
            </w:r>
          </w:p>
        </w:tc>
      </w:tr>
      <w:tr w:rsidR="00D27889" w:rsidRPr="00217328" w:rsidTr="00454C6F">
        <w:trPr>
          <w:trHeight w:val="135"/>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Chad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12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12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22</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553</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700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-69</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234</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462</w:t>
            </w:r>
          </w:p>
        </w:tc>
      </w:tr>
      <w:tr w:rsidR="00D27889" w:rsidRPr="00217328" w:rsidTr="00454C6F">
        <w:trPr>
          <w:trHeight w:val="158"/>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Congo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27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28</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117</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233</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344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2275</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2483</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2083</w:t>
            </w:r>
          </w:p>
        </w:tc>
      </w:tr>
      <w:tr w:rsidR="00D27889" w:rsidRPr="00217328" w:rsidTr="00454C6F">
        <w:trPr>
          <w:trHeight w:val="148"/>
        </w:trPr>
        <w:tc>
          <w:tcPr>
            <w:tcW w:w="1312"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Congo, Democratic Republic of </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60 </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-4 </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52</w:t>
            </w:r>
          </w:p>
        </w:tc>
        <w:tc>
          <w:tcPr>
            <w:tcW w:w="416"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180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1808</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1727</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951</w:t>
            </w:r>
          </w:p>
        </w:tc>
      </w:tr>
      <w:tr w:rsidR="00D27889" w:rsidRPr="00217328" w:rsidTr="00454C6F">
        <w:trPr>
          <w:trHeight w:val="148"/>
        </w:trPr>
        <w:tc>
          <w:tcPr>
            <w:tcW w:w="1312"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Equatorial Guinea </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0 </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2</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101</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458</w:t>
            </w:r>
          </w:p>
        </w:tc>
        <w:tc>
          <w:tcPr>
            <w:tcW w:w="416"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1 656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1243</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-794</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1636</w:t>
            </w:r>
          </w:p>
        </w:tc>
      </w:tr>
      <w:tr w:rsidR="00D27889" w:rsidRPr="00217328" w:rsidTr="00454C6F">
        <w:trPr>
          <w:trHeight w:val="135"/>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Gabon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48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65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-132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118</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268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269</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209</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33</w:t>
            </w:r>
          </w:p>
        </w:tc>
      </w:tr>
      <w:tr w:rsidR="00D27889" w:rsidRPr="00217328" w:rsidTr="00454C6F">
        <w:trPr>
          <w:trHeight w:val="148"/>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Rwanda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4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17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4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7</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15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82</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103</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119</w:t>
            </w:r>
          </w:p>
        </w:tc>
      </w:tr>
      <w:tr w:rsidR="00D27889" w:rsidRPr="00217328" w:rsidTr="00454C6F">
        <w:trPr>
          <w:trHeight w:val="155"/>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São Tomé and Principe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0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1</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0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35</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33</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36</w:t>
            </w:r>
          </w:p>
        </w:tc>
      </w:tr>
      <w:tr w:rsidR="00D1421A" w:rsidRPr="0022667A" w:rsidTr="00454C6F">
        <w:trPr>
          <w:trHeight w:val="135"/>
        </w:trPr>
        <w:tc>
          <w:tcPr>
            <w:tcW w:w="1312" w:type="pct"/>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 xml:space="preserve">East Africa </w:t>
            </w:r>
          </w:p>
        </w:tc>
        <w:tc>
          <w:tcPr>
            <w:tcW w:w="537" w:type="pct"/>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 xml:space="preserve">61 </w:t>
            </w:r>
          </w:p>
        </w:tc>
        <w:tc>
          <w:tcPr>
            <w:tcW w:w="537" w:type="pct"/>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62</w:t>
            </w:r>
          </w:p>
        </w:tc>
        <w:tc>
          <w:tcPr>
            <w:tcW w:w="537" w:type="pct"/>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 xml:space="preserve">400 </w:t>
            </w:r>
          </w:p>
        </w:tc>
        <w:tc>
          <w:tcPr>
            <w:tcW w:w="416" w:type="pct"/>
            <w:vAlign w:val="bottom"/>
          </w:tcPr>
          <w:p w:rsidR="00D1421A" w:rsidRPr="0022667A" w:rsidRDefault="00D1421A" w:rsidP="007A1404">
            <w:pPr>
              <w:spacing w:line="360" w:lineRule="auto"/>
              <w:jc w:val="right"/>
              <w:rPr>
                <w:rFonts w:ascii="Garamond" w:hAnsi="Garamond"/>
                <w:b/>
                <w:color w:val="000000"/>
                <w:sz w:val="16"/>
                <w:szCs w:val="16"/>
              </w:rPr>
            </w:pPr>
            <w:r w:rsidRPr="0022667A">
              <w:rPr>
                <w:rFonts w:ascii="Garamond" w:hAnsi="Garamond"/>
                <w:b/>
                <w:color w:val="000000"/>
                <w:sz w:val="16"/>
                <w:szCs w:val="16"/>
              </w:rPr>
              <w:t>1157</w:t>
            </w:r>
          </w:p>
        </w:tc>
        <w:tc>
          <w:tcPr>
            <w:tcW w:w="416" w:type="pct"/>
          </w:tcPr>
          <w:p w:rsidR="00D1421A" w:rsidRPr="0022667A" w:rsidRDefault="00D1421A" w:rsidP="007A1404">
            <w:pPr>
              <w:pStyle w:val="Default"/>
              <w:spacing w:line="360" w:lineRule="auto"/>
              <w:jc w:val="both"/>
              <w:rPr>
                <w:rFonts w:ascii="Garamond" w:hAnsi="Garamond"/>
                <w:b/>
                <w:sz w:val="16"/>
                <w:szCs w:val="16"/>
              </w:rPr>
            </w:pPr>
            <w:r w:rsidRPr="0022667A">
              <w:rPr>
                <w:rFonts w:ascii="Garamond" w:hAnsi="Garamond"/>
                <w:b/>
                <w:bCs/>
                <w:sz w:val="16"/>
                <w:szCs w:val="16"/>
              </w:rPr>
              <w:t xml:space="preserve">1 789 </w:t>
            </w:r>
          </w:p>
        </w:tc>
        <w:tc>
          <w:tcPr>
            <w:tcW w:w="416" w:type="pct"/>
            <w:vAlign w:val="bottom"/>
          </w:tcPr>
          <w:p w:rsidR="00D1421A" w:rsidRPr="0022667A" w:rsidRDefault="00D1421A" w:rsidP="007A1404">
            <w:pPr>
              <w:spacing w:line="360" w:lineRule="auto"/>
              <w:jc w:val="right"/>
              <w:rPr>
                <w:rFonts w:ascii="Garamond" w:hAnsi="Garamond" w:cs="Arial"/>
                <w:b/>
                <w:sz w:val="16"/>
                <w:szCs w:val="16"/>
              </w:rPr>
            </w:pPr>
            <w:r w:rsidRPr="0022667A">
              <w:rPr>
                <w:rFonts w:ascii="Garamond" w:hAnsi="Garamond" w:cs="Arial"/>
                <w:b/>
                <w:sz w:val="16"/>
                <w:szCs w:val="16"/>
              </w:rPr>
              <w:t>6025</w:t>
            </w:r>
          </w:p>
        </w:tc>
        <w:tc>
          <w:tcPr>
            <w:tcW w:w="416" w:type="pct"/>
            <w:vAlign w:val="bottom"/>
          </w:tcPr>
          <w:p w:rsidR="00D1421A" w:rsidRPr="0022667A" w:rsidRDefault="00D1421A" w:rsidP="007A1404">
            <w:pPr>
              <w:spacing w:line="360" w:lineRule="auto"/>
              <w:jc w:val="right"/>
              <w:rPr>
                <w:rFonts w:ascii="Garamond" w:hAnsi="Garamond" w:cs="Arial"/>
                <w:b/>
                <w:sz w:val="16"/>
                <w:szCs w:val="16"/>
              </w:rPr>
            </w:pPr>
            <w:r w:rsidRPr="0022667A">
              <w:rPr>
                <w:rFonts w:ascii="Garamond" w:hAnsi="Garamond" w:cs="Arial"/>
                <w:b/>
                <w:sz w:val="16"/>
                <w:szCs w:val="16"/>
              </w:rPr>
              <w:t>5682</w:t>
            </w:r>
          </w:p>
        </w:tc>
        <w:tc>
          <w:tcPr>
            <w:tcW w:w="413" w:type="pct"/>
            <w:vAlign w:val="bottom"/>
          </w:tcPr>
          <w:p w:rsidR="00D1421A" w:rsidRPr="0022667A" w:rsidRDefault="00D1421A" w:rsidP="007A1404">
            <w:pPr>
              <w:spacing w:line="360" w:lineRule="auto"/>
              <w:jc w:val="right"/>
              <w:rPr>
                <w:rFonts w:ascii="Garamond" w:hAnsi="Garamond" w:cs="Arial"/>
                <w:b/>
                <w:sz w:val="16"/>
                <w:szCs w:val="16"/>
              </w:rPr>
            </w:pPr>
            <w:r w:rsidRPr="0022667A">
              <w:rPr>
                <w:rFonts w:ascii="Garamond" w:hAnsi="Garamond" w:cs="Arial"/>
                <w:b/>
                <w:sz w:val="16"/>
                <w:szCs w:val="16"/>
              </w:rPr>
              <w:t>5028</w:t>
            </w:r>
          </w:p>
        </w:tc>
      </w:tr>
      <w:tr w:rsidR="00D27889" w:rsidRPr="00217328" w:rsidTr="00454C6F">
        <w:trPr>
          <w:trHeight w:val="148"/>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Comoros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2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4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0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1</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8</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8</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9</w:t>
            </w:r>
          </w:p>
        </w:tc>
      </w:tr>
      <w:tr w:rsidR="00D27889" w:rsidRPr="00217328" w:rsidTr="00454C6F">
        <w:trPr>
          <w:trHeight w:val="160"/>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Djibouti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0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0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2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14</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108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195</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234</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100</w:t>
            </w:r>
          </w:p>
        </w:tc>
      </w:tr>
      <w:tr w:rsidR="00D27889" w:rsidRPr="00217328" w:rsidTr="00454C6F">
        <w:trPr>
          <w:trHeight w:val="133"/>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Eritrea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77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12</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4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0</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0</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0</w:t>
            </w:r>
          </w:p>
        </w:tc>
      </w:tr>
      <w:tr w:rsidR="00D27889" w:rsidRPr="00217328" w:rsidTr="00454C6F">
        <w:trPr>
          <w:trHeight w:val="158"/>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Ethiopia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11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0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69</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328</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364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222</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109</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94</w:t>
            </w:r>
          </w:p>
        </w:tc>
      </w:tr>
      <w:tr w:rsidR="00D27889" w:rsidRPr="00217328" w:rsidTr="00454C6F">
        <w:trPr>
          <w:trHeight w:val="148"/>
        </w:trPr>
        <w:tc>
          <w:tcPr>
            <w:tcW w:w="1312"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Kenya </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31 </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30 </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21</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49</w:t>
            </w:r>
          </w:p>
        </w:tc>
        <w:tc>
          <w:tcPr>
            <w:tcW w:w="416"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51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729</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96</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141</w:t>
            </w:r>
          </w:p>
        </w:tc>
      </w:tr>
      <w:tr w:rsidR="00D27889" w:rsidRPr="00217328" w:rsidTr="00454C6F">
        <w:trPr>
          <w:trHeight w:val="148"/>
        </w:trPr>
        <w:tc>
          <w:tcPr>
            <w:tcW w:w="1312"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Madagascar </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4 </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4 </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19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86</w:t>
            </w:r>
          </w:p>
        </w:tc>
        <w:tc>
          <w:tcPr>
            <w:tcW w:w="416"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230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777</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1180</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543</w:t>
            </w:r>
          </w:p>
        </w:tc>
      </w:tr>
      <w:tr w:rsidR="00D27889" w:rsidRPr="00217328" w:rsidTr="00454C6F">
        <w:trPr>
          <w:trHeight w:val="135"/>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Mauritius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2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10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28</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65</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105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339</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383</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257</w:t>
            </w:r>
          </w:p>
        </w:tc>
      </w:tr>
      <w:tr w:rsidR="00D27889" w:rsidRPr="00217328" w:rsidTr="00454C6F">
        <w:trPr>
          <w:trHeight w:val="160"/>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Seychelles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4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14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31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53</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146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239</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252</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243</w:t>
            </w:r>
          </w:p>
        </w:tc>
      </w:tr>
      <w:tr w:rsidR="00D27889" w:rsidRPr="00217328" w:rsidTr="00454C6F">
        <w:trPr>
          <w:trHeight w:val="133"/>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Somalia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-4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3</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96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141</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87</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108</w:t>
            </w:r>
          </w:p>
        </w:tc>
      </w:tr>
      <w:tr w:rsidR="00D27889" w:rsidRPr="00217328" w:rsidTr="00454C6F">
        <w:trPr>
          <w:trHeight w:val="160"/>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Uganda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72</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200</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307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733</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787</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799</w:t>
            </w:r>
          </w:p>
        </w:tc>
      </w:tr>
      <w:tr w:rsidR="00D27889" w:rsidRPr="00217328" w:rsidTr="00454C6F">
        <w:trPr>
          <w:trHeight w:val="145"/>
        </w:trPr>
        <w:tc>
          <w:tcPr>
            <w:tcW w:w="1312"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United Republic of Tanzania </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4 </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5</w:t>
            </w:r>
          </w:p>
        </w:tc>
        <w:tc>
          <w:tcPr>
            <w:tcW w:w="537"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121</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347</w:t>
            </w:r>
          </w:p>
        </w:tc>
        <w:tc>
          <w:tcPr>
            <w:tcW w:w="416" w:type="pct"/>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377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647</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679</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645</w:t>
            </w:r>
          </w:p>
        </w:tc>
      </w:tr>
      <w:tr w:rsidR="00D1421A" w:rsidRPr="004438A2" w:rsidTr="00454C6F">
        <w:trPr>
          <w:trHeight w:val="135"/>
        </w:trPr>
        <w:tc>
          <w:tcPr>
            <w:tcW w:w="1312" w:type="pct"/>
          </w:tcPr>
          <w:p w:rsidR="00D1421A" w:rsidRPr="004438A2" w:rsidRDefault="00D1421A" w:rsidP="007A1404">
            <w:pPr>
              <w:pStyle w:val="Default"/>
              <w:spacing w:line="360" w:lineRule="auto"/>
              <w:jc w:val="both"/>
              <w:rPr>
                <w:rFonts w:ascii="Garamond" w:hAnsi="Garamond"/>
                <w:b/>
                <w:sz w:val="16"/>
                <w:szCs w:val="16"/>
              </w:rPr>
            </w:pPr>
            <w:r w:rsidRPr="004438A2">
              <w:rPr>
                <w:rFonts w:ascii="Garamond" w:hAnsi="Garamond"/>
                <w:b/>
                <w:bCs/>
                <w:sz w:val="16"/>
                <w:szCs w:val="16"/>
              </w:rPr>
              <w:t>Southern Africa</w:t>
            </w:r>
          </w:p>
        </w:tc>
        <w:tc>
          <w:tcPr>
            <w:tcW w:w="537" w:type="pct"/>
          </w:tcPr>
          <w:p w:rsidR="00D1421A" w:rsidRPr="004438A2" w:rsidRDefault="00D1421A" w:rsidP="007A1404">
            <w:pPr>
              <w:pStyle w:val="Default"/>
              <w:spacing w:line="360" w:lineRule="auto"/>
              <w:jc w:val="both"/>
              <w:rPr>
                <w:rFonts w:ascii="Garamond" w:hAnsi="Garamond"/>
                <w:b/>
                <w:sz w:val="16"/>
                <w:szCs w:val="16"/>
              </w:rPr>
            </w:pPr>
            <w:r w:rsidRPr="004438A2">
              <w:rPr>
                <w:rFonts w:ascii="Garamond" w:hAnsi="Garamond"/>
                <w:b/>
                <w:bCs/>
                <w:sz w:val="16"/>
                <w:szCs w:val="16"/>
              </w:rPr>
              <w:t xml:space="preserve">183 </w:t>
            </w:r>
          </w:p>
        </w:tc>
        <w:tc>
          <w:tcPr>
            <w:tcW w:w="537" w:type="pct"/>
          </w:tcPr>
          <w:p w:rsidR="00D1421A" w:rsidRPr="004438A2" w:rsidRDefault="00D1421A" w:rsidP="007A1404">
            <w:pPr>
              <w:pStyle w:val="Default"/>
              <w:spacing w:line="360" w:lineRule="auto"/>
              <w:jc w:val="both"/>
              <w:rPr>
                <w:rFonts w:ascii="Garamond" w:hAnsi="Garamond"/>
                <w:b/>
                <w:sz w:val="16"/>
                <w:szCs w:val="16"/>
              </w:rPr>
            </w:pPr>
            <w:r w:rsidRPr="004438A2">
              <w:rPr>
                <w:rFonts w:ascii="Garamond" w:hAnsi="Garamond"/>
                <w:b/>
                <w:bCs/>
                <w:sz w:val="16"/>
                <w:szCs w:val="16"/>
              </w:rPr>
              <w:t xml:space="preserve">316 </w:t>
            </w:r>
          </w:p>
        </w:tc>
        <w:tc>
          <w:tcPr>
            <w:tcW w:w="537" w:type="pct"/>
          </w:tcPr>
          <w:p w:rsidR="00D1421A" w:rsidRPr="004438A2" w:rsidRDefault="00D1421A" w:rsidP="007A1404">
            <w:pPr>
              <w:pStyle w:val="Default"/>
              <w:spacing w:line="360" w:lineRule="auto"/>
              <w:jc w:val="both"/>
              <w:rPr>
                <w:rFonts w:ascii="Garamond" w:hAnsi="Garamond"/>
                <w:b/>
                <w:sz w:val="16"/>
                <w:szCs w:val="16"/>
              </w:rPr>
            </w:pPr>
            <w:r w:rsidRPr="004438A2">
              <w:rPr>
                <w:rFonts w:ascii="Garamond" w:hAnsi="Garamond"/>
                <w:b/>
                <w:bCs/>
                <w:sz w:val="16"/>
                <w:szCs w:val="16"/>
              </w:rPr>
              <w:t xml:space="preserve">1 953 </w:t>
            </w:r>
          </w:p>
        </w:tc>
        <w:tc>
          <w:tcPr>
            <w:tcW w:w="416" w:type="pct"/>
            <w:vAlign w:val="bottom"/>
          </w:tcPr>
          <w:p w:rsidR="00D1421A" w:rsidRPr="004438A2" w:rsidRDefault="00D1421A" w:rsidP="007A1404">
            <w:pPr>
              <w:spacing w:line="360" w:lineRule="auto"/>
              <w:jc w:val="right"/>
              <w:rPr>
                <w:rFonts w:ascii="Garamond" w:hAnsi="Garamond"/>
                <w:b/>
                <w:color w:val="000000"/>
                <w:sz w:val="16"/>
                <w:szCs w:val="16"/>
              </w:rPr>
            </w:pPr>
            <w:r w:rsidRPr="004438A2">
              <w:rPr>
                <w:rFonts w:ascii="Garamond" w:hAnsi="Garamond"/>
                <w:b/>
                <w:color w:val="000000"/>
                <w:sz w:val="16"/>
                <w:szCs w:val="16"/>
              </w:rPr>
              <w:t>5162</w:t>
            </w:r>
          </w:p>
        </w:tc>
        <w:tc>
          <w:tcPr>
            <w:tcW w:w="416" w:type="pct"/>
          </w:tcPr>
          <w:p w:rsidR="00D1421A" w:rsidRPr="004438A2" w:rsidRDefault="00D1421A" w:rsidP="007A1404">
            <w:pPr>
              <w:pStyle w:val="Default"/>
              <w:spacing w:line="360" w:lineRule="auto"/>
              <w:jc w:val="both"/>
              <w:rPr>
                <w:rFonts w:ascii="Garamond" w:hAnsi="Garamond"/>
                <w:b/>
                <w:sz w:val="16"/>
                <w:szCs w:val="16"/>
              </w:rPr>
            </w:pPr>
            <w:r w:rsidRPr="004438A2">
              <w:rPr>
                <w:rFonts w:ascii="Garamond" w:hAnsi="Garamond"/>
                <w:b/>
                <w:bCs/>
                <w:sz w:val="16"/>
                <w:szCs w:val="16"/>
              </w:rPr>
              <w:t xml:space="preserve">-195 </w:t>
            </w:r>
          </w:p>
        </w:tc>
        <w:tc>
          <w:tcPr>
            <w:tcW w:w="416" w:type="pct"/>
            <w:vAlign w:val="bottom"/>
          </w:tcPr>
          <w:p w:rsidR="00D1421A" w:rsidRPr="004438A2" w:rsidRDefault="00D1421A" w:rsidP="007A1404">
            <w:pPr>
              <w:spacing w:line="360" w:lineRule="auto"/>
              <w:jc w:val="right"/>
              <w:rPr>
                <w:rFonts w:ascii="Garamond" w:hAnsi="Garamond" w:cs="Arial"/>
                <w:b/>
                <w:sz w:val="16"/>
                <w:szCs w:val="16"/>
              </w:rPr>
            </w:pPr>
            <w:r w:rsidRPr="004438A2">
              <w:rPr>
                <w:rFonts w:ascii="Garamond" w:hAnsi="Garamond" w:cs="Arial"/>
                <w:b/>
                <w:sz w:val="16"/>
                <w:szCs w:val="16"/>
              </w:rPr>
              <w:t>7 056</w:t>
            </w:r>
          </w:p>
        </w:tc>
        <w:tc>
          <w:tcPr>
            <w:tcW w:w="416" w:type="pct"/>
            <w:vAlign w:val="bottom"/>
          </w:tcPr>
          <w:p w:rsidR="00D1421A" w:rsidRPr="004438A2" w:rsidRDefault="00D1421A" w:rsidP="007A1404">
            <w:pPr>
              <w:spacing w:line="360" w:lineRule="auto"/>
              <w:jc w:val="right"/>
              <w:rPr>
                <w:rFonts w:ascii="Garamond" w:hAnsi="Garamond" w:cs="Arial"/>
                <w:b/>
                <w:sz w:val="16"/>
                <w:szCs w:val="16"/>
              </w:rPr>
            </w:pPr>
            <w:r w:rsidRPr="004438A2">
              <w:rPr>
                <w:rFonts w:ascii="Garamond" w:hAnsi="Garamond" w:cs="Arial"/>
                <w:b/>
                <w:sz w:val="16"/>
                <w:szCs w:val="16"/>
              </w:rPr>
              <w:t>10 409</w:t>
            </w:r>
          </w:p>
        </w:tc>
        <w:tc>
          <w:tcPr>
            <w:tcW w:w="413" w:type="pct"/>
            <w:vAlign w:val="bottom"/>
          </w:tcPr>
          <w:p w:rsidR="00D1421A" w:rsidRPr="004438A2" w:rsidRDefault="00D1421A" w:rsidP="007A1404">
            <w:pPr>
              <w:spacing w:line="360" w:lineRule="auto"/>
              <w:jc w:val="right"/>
              <w:rPr>
                <w:rFonts w:ascii="Garamond" w:hAnsi="Garamond" w:cs="Arial"/>
                <w:b/>
                <w:sz w:val="16"/>
                <w:szCs w:val="16"/>
              </w:rPr>
            </w:pPr>
            <w:r w:rsidRPr="004438A2">
              <w:rPr>
                <w:rFonts w:ascii="Garamond" w:hAnsi="Garamond" w:cs="Arial"/>
                <w:b/>
                <w:sz w:val="16"/>
                <w:szCs w:val="16"/>
              </w:rPr>
              <w:t>6 561</w:t>
            </w:r>
          </w:p>
        </w:tc>
      </w:tr>
      <w:tr w:rsidR="00A7511B" w:rsidRPr="00217328" w:rsidTr="00454C6F">
        <w:trPr>
          <w:trHeight w:val="158"/>
        </w:trPr>
        <w:tc>
          <w:tcPr>
            <w:tcW w:w="1312"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lastRenderedPageBreak/>
              <w:t xml:space="preserve">Angola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3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134</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574</w:t>
            </w:r>
          </w:p>
        </w:tc>
        <w:tc>
          <w:tcPr>
            <w:tcW w:w="416" w:type="pct"/>
            <w:vAlign w:val="bottom"/>
          </w:tcPr>
          <w:p w:rsidR="00A7511B" w:rsidRPr="007952CA" w:rsidRDefault="00A7511B" w:rsidP="007A1404">
            <w:pPr>
              <w:spacing w:line="360" w:lineRule="auto"/>
              <w:jc w:val="right"/>
              <w:rPr>
                <w:rFonts w:ascii="Garamond" w:hAnsi="Garamond"/>
                <w:color w:val="000000"/>
                <w:sz w:val="16"/>
                <w:szCs w:val="16"/>
              </w:rPr>
            </w:pPr>
            <w:r w:rsidRPr="007952CA">
              <w:rPr>
                <w:rFonts w:ascii="Garamond" w:hAnsi="Garamond"/>
                <w:color w:val="000000"/>
                <w:sz w:val="16"/>
                <w:szCs w:val="16"/>
              </w:rPr>
              <w:t>879</w:t>
            </w:r>
          </w:p>
        </w:tc>
        <w:tc>
          <w:tcPr>
            <w:tcW w:w="416"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- 1 140 </w:t>
            </w:r>
          </w:p>
        </w:tc>
        <w:tc>
          <w:tcPr>
            <w:tcW w:w="416"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9796</w:t>
            </w:r>
          </w:p>
        </w:tc>
        <w:tc>
          <w:tcPr>
            <w:tcW w:w="416"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16581</w:t>
            </w:r>
          </w:p>
        </w:tc>
        <w:tc>
          <w:tcPr>
            <w:tcW w:w="413"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13101</w:t>
            </w:r>
          </w:p>
        </w:tc>
      </w:tr>
      <w:tr w:rsidR="00A7511B" w:rsidRPr="00217328" w:rsidTr="00454C6F">
        <w:trPr>
          <w:trHeight w:val="135"/>
        </w:trPr>
        <w:tc>
          <w:tcPr>
            <w:tcW w:w="1312"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Botswana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26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63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16 </w:t>
            </w:r>
          </w:p>
        </w:tc>
        <w:tc>
          <w:tcPr>
            <w:tcW w:w="416" w:type="pct"/>
            <w:vAlign w:val="bottom"/>
          </w:tcPr>
          <w:p w:rsidR="00A7511B" w:rsidRPr="007952CA" w:rsidRDefault="00A7511B" w:rsidP="007A1404">
            <w:pPr>
              <w:spacing w:line="360" w:lineRule="auto"/>
              <w:jc w:val="right"/>
              <w:rPr>
                <w:rFonts w:ascii="Garamond" w:hAnsi="Garamond"/>
                <w:color w:val="000000"/>
                <w:sz w:val="16"/>
                <w:szCs w:val="16"/>
              </w:rPr>
            </w:pPr>
            <w:r w:rsidRPr="007952CA">
              <w:rPr>
                <w:rFonts w:ascii="Garamond" w:hAnsi="Garamond"/>
                <w:color w:val="000000"/>
                <w:sz w:val="16"/>
                <w:szCs w:val="16"/>
              </w:rPr>
              <w:t>264</w:t>
            </w:r>
          </w:p>
        </w:tc>
        <w:tc>
          <w:tcPr>
            <w:tcW w:w="416"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274 </w:t>
            </w:r>
          </w:p>
        </w:tc>
        <w:tc>
          <w:tcPr>
            <w:tcW w:w="416"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495</w:t>
            </w:r>
          </w:p>
        </w:tc>
        <w:tc>
          <w:tcPr>
            <w:tcW w:w="416"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521</w:t>
            </w:r>
          </w:p>
        </w:tc>
        <w:tc>
          <w:tcPr>
            <w:tcW w:w="413"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234</w:t>
            </w:r>
          </w:p>
        </w:tc>
      </w:tr>
      <w:tr w:rsidR="00A7511B" w:rsidRPr="00217328" w:rsidTr="00454C6F">
        <w:trPr>
          <w:trHeight w:val="148"/>
        </w:trPr>
        <w:tc>
          <w:tcPr>
            <w:tcW w:w="1312"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Lesotho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0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7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23 </w:t>
            </w:r>
          </w:p>
        </w:tc>
        <w:tc>
          <w:tcPr>
            <w:tcW w:w="416" w:type="pct"/>
            <w:vAlign w:val="bottom"/>
          </w:tcPr>
          <w:p w:rsidR="00A7511B" w:rsidRPr="007952CA" w:rsidRDefault="00A7511B" w:rsidP="007A1404">
            <w:pPr>
              <w:spacing w:line="360" w:lineRule="auto"/>
              <w:jc w:val="right"/>
              <w:rPr>
                <w:rFonts w:ascii="Garamond" w:hAnsi="Garamond"/>
                <w:color w:val="000000"/>
                <w:sz w:val="16"/>
                <w:szCs w:val="16"/>
              </w:rPr>
            </w:pPr>
            <w:r w:rsidRPr="007952CA">
              <w:rPr>
                <w:rFonts w:ascii="Garamond" w:hAnsi="Garamond"/>
                <w:color w:val="000000"/>
                <w:sz w:val="16"/>
                <w:szCs w:val="16"/>
              </w:rPr>
              <w:t>40</w:t>
            </w:r>
          </w:p>
        </w:tc>
        <w:tc>
          <w:tcPr>
            <w:tcW w:w="416"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57 </w:t>
            </w:r>
          </w:p>
        </w:tc>
        <w:tc>
          <w:tcPr>
            <w:tcW w:w="416"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97</w:t>
            </w:r>
          </w:p>
        </w:tc>
        <w:tc>
          <w:tcPr>
            <w:tcW w:w="416"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56</w:t>
            </w:r>
          </w:p>
        </w:tc>
        <w:tc>
          <w:tcPr>
            <w:tcW w:w="413"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48</w:t>
            </w:r>
          </w:p>
        </w:tc>
      </w:tr>
      <w:tr w:rsidR="00D27889" w:rsidRPr="00217328" w:rsidTr="00454C6F">
        <w:trPr>
          <w:trHeight w:val="148"/>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Malawi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10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7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13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27</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30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92</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170</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60</w:t>
            </w:r>
          </w:p>
        </w:tc>
      </w:tr>
      <w:tr w:rsidR="00D27889" w:rsidRPr="00217328" w:rsidTr="00454C6F">
        <w:trPr>
          <w:trHeight w:val="158"/>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Mozambique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2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92</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239</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154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427</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592</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881</w:t>
            </w:r>
          </w:p>
        </w:tc>
      </w:tr>
      <w:tr w:rsidR="00A7511B" w:rsidRPr="00217328" w:rsidTr="00454C6F">
        <w:trPr>
          <w:trHeight w:val="135"/>
        </w:trPr>
        <w:tc>
          <w:tcPr>
            <w:tcW w:w="1312"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Namibia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5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88</w:t>
            </w:r>
          </w:p>
        </w:tc>
        <w:tc>
          <w:tcPr>
            <w:tcW w:w="416" w:type="pct"/>
            <w:vAlign w:val="bottom"/>
          </w:tcPr>
          <w:p w:rsidR="00A7511B" w:rsidRPr="007952CA" w:rsidRDefault="00A7511B" w:rsidP="007A1404">
            <w:pPr>
              <w:spacing w:line="360" w:lineRule="auto"/>
              <w:jc w:val="right"/>
              <w:rPr>
                <w:rFonts w:ascii="Garamond" w:hAnsi="Garamond"/>
                <w:color w:val="000000"/>
                <w:sz w:val="16"/>
                <w:szCs w:val="16"/>
              </w:rPr>
            </w:pPr>
            <w:r w:rsidRPr="007952CA">
              <w:rPr>
                <w:rFonts w:ascii="Garamond" w:hAnsi="Garamond"/>
                <w:color w:val="000000"/>
                <w:sz w:val="16"/>
                <w:szCs w:val="16"/>
              </w:rPr>
              <w:t>243</w:t>
            </w:r>
          </w:p>
        </w:tc>
        <w:tc>
          <w:tcPr>
            <w:tcW w:w="416"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327 </w:t>
            </w:r>
          </w:p>
        </w:tc>
        <w:tc>
          <w:tcPr>
            <w:tcW w:w="416"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733</w:t>
            </w:r>
          </w:p>
        </w:tc>
        <w:tc>
          <w:tcPr>
            <w:tcW w:w="416"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720</w:t>
            </w:r>
          </w:p>
        </w:tc>
        <w:tc>
          <w:tcPr>
            <w:tcW w:w="413"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516</w:t>
            </w:r>
          </w:p>
        </w:tc>
      </w:tr>
      <w:tr w:rsidR="00A7511B" w:rsidRPr="00217328" w:rsidTr="00454C6F">
        <w:trPr>
          <w:trHeight w:val="148"/>
        </w:trPr>
        <w:tc>
          <w:tcPr>
            <w:tcW w:w="1312"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South Africa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92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14</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850</w:t>
            </w:r>
          </w:p>
        </w:tc>
        <w:tc>
          <w:tcPr>
            <w:tcW w:w="416" w:type="pct"/>
            <w:vAlign w:val="bottom"/>
          </w:tcPr>
          <w:p w:rsidR="00A7511B" w:rsidRPr="007952CA" w:rsidRDefault="00A7511B" w:rsidP="007A1404">
            <w:pPr>
              <w:spacing w:line="360" w:lineRule="auto"/>
              <w:jc w:val="right"/>
              <w:rPr>
                <w:rFonts w:ascii="Garamond" w:hAnsi="Garamond"/>
                <w:color w:val="000000"/>
                <w:sz w:val="16"/>
                <w:szCs w:val="16"/>
              </w:rPr>
            </w:pPr>
            <w:r w:rsidRPr="007952CA">
              <w:rPr>
                <w:rFonts w:ascii="Garamond" w:hAnsi="Garamond"/>
                <w:color w:val="000000"/>
                <w:sz w:val="16"/>
                <w:szCs w:val="16"/>
              </w:rPr>
              <w:t>795</w:t>
            </w:r>
          </w:p>
        </w:tc>
        <w:tc>
          <w:tcPr>
            <w:tcW w:w="416"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-323 </w:t>
            </w:r>
          </w:p>
        </w:tc>
        <w:tc>
          <w:tcPr>
            <w:tcW w:w="416"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5695</w:t>
            </w:r>
          </w:p>
        </w:tc>
        <w:tc>
          <w:tcPr>
            <w:tcW w:w="416"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9006</w:t>
            </w:r>
          </w:p>
        </w:tc>
        <w:tc>
          <w:tcPr>
            <w:tcW w:w="413"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5696</w:t>
            </w:r>
          </w:p>
        </w:tc>
      </w:tr>
      <w:tr w:rsidR="00A7511B" w:rsidRPr="00217328" w:rsidTr="00454C6F">
        <w:trPr>
          <w:trHeight w:val="145"/>
        </w:trPr>
        <w:tc>
          <w:tcPr>
            <w:tcW w:w="1312"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Swaziland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15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28 </w:t>
            </w:r>
          </w:p>
        </w:tc>
        <w:tc>
          <w:tcPr>
            <w:tcW w:w="537"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59 </w:t>
            </w:r>
          </w:p>
        </w:tc>
        <w:tc>
          <w:tcPr>
            <w:tcW w:w="416" w:type="pct"/>
            <w:vAlign w:val="bottom"/>
          </w:tcPr>
          <w:p w:rsidR="00A7511B" w:rsidRPr="007952CA" w:rsidRDefault="00A7511B" w:rsidP="007A1404">
            <w:pPr>
              <w:spacing w:line="360" w:lineRule="auto"/>
              <w:jc w:val="right"/>
              <w:rPr>
                <w:rFonts w:ascii="Garamond" w:hAnsi="Garamond"/>
                <w:color w:val="000000"/>
                <w:sz w:val="16"/>
                <w:szCs w:val="16"/>
              </w:rPr>
            </w:pPr>
            <w:r w:rsidRPr="007952CA">
              <w:rPr>
                <w:rFonts w:ascii="Garamond" w:hAnsi="Garamond"/>
                <w:color w:val="000000"/>
                <w:sz w:val="16"/>
                <w:szCs w:val="16"/>
              </w:rPr>
              <w:t>29</w:t>
            </w:r>
          </w:p>
        </w:tc>
        <w:tc>
          <w:tcPr>
            <w:tcW w:w="416" w:type="pct"/>
            <w:vAlign w:val="center"/>
          </w:tcPr>
          <w:p w:rsidR="00A7511B" w:rsidRPr="001D59EE" w:rsidRDefault="00A7511B" w:rsidP="007A1404">
            <w:pPr>
              <w:pStyle w:val="Default"/>
              <w:spacing w:line="360" w:lineRule="auto"/>
              <w:jc w:val="both"/>
              <w:rPr>
                <w:rFonts w:ascii="Garamond" w:hAnsi="Garamond"/>
                <w:sz w:val="16"/>
                <w:szCs w:val="16"/>
              </w:rPr>
            </w:pPr>
            <w:r w:rsidRPr="001D59EE">
              <w:rPr>
                <w:rFonts w:ascii="Garamond" w:hAnsi="Garamond"/>
                <w:sz w:val="16"/>
                <w:szCs w:val="16"/>
              </w:rPr>
              <w:t xml:space="preserve">36 </w:t>
            </w:r>
          </w:p>
        </w:tc>
        <w:tc>
          <w:tcPr>
            <w:tcW w:w="416"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37</w:t>
            </w:r>
          </w:p>
        </w:tc>
        <w:tc>
          <w:tcPr>
            <w:tcW w:w="416"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106</w:t>
            </w:r>
          </w:p>
        </w:tc>
        <w:tc>
          <w:tcPr>
            <w:tcW w:w="413" w:type="pct"/>
            <w:vAlign w:val="bottom"/>
          </w:tcPr>
          <w:p w:rsidR="00A7511B" w:rsidRDefault="00A7511B" w:rsidP="007A1404">
            <w:pPr>
              <w:spacing w:line="360" w:lineRule="auto"/>
              <w:jc w:val="right"/>
              <w:rPr>
                <w:rFonts w:ascii="Garamond" w:hAnsi="Garamond" w:cs="Arial"/>
                <w:sz w:val="16"/>
                <w:szCs w:val="16"/>
              </w:rPr>
            </w:pPr>
            <w:r>
              <w:rPr>
                <w:rFonts w:ascii="Garamond" w:hAnsi="Garamond" w:cs="Arial"/>
                <w:sz w:val="16"/>
                <w:szCs w:val="16"/>
              </w:rPr>
              <w:t>66</w:t>
            </w:r>
          </w:p>
        </w:tc>
      </w:tr>
      <w:tr w:rsidR="00D27889" w:rsidRPr="00217328" w:rsidTr="00454C6F">
        <w:trPr>
          <w:trHeight w:val="148"/>
        </w:trPr>
        <w:tc>
          <w:tcPr>
            <w:tcW w:w="1312"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Zambia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30 </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52</w:t>
            </w:r>
          </w:p>
        </w:tc>
        <w:tc>
          <w:tcPr>
            <w:tcW w:w="537"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142</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199</w:t>
            </w:r>
          </w:p>
        </w:tc>
        <w:tc>
          <w:tcPr>
            <w:tcW w:w="416" w:type="pct"/>
            <w:vAlign w:val="center"/>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350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1324</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939</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959</w:t>
            </w:r>
          </w:p>
        </w:tc>
      </w:tr>
      <w:tr w:rsidR="00D27889" w:rsidRPr="00217328" w:rsidTr="00454C6F">
        <w:trPr>
          <w:trHeight w:val="105"/>
        </w:trPr>
        <w:tc>
          <w:tcPr>
            <w:tcW w:w="1312" w:type="pct"/>
            <w:vAlign w:val="bottom"/>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Zimbabwe </w:t>
            </w:r>
          </w:p>
        </w:tc>
        <w:tc>
          <w:tcPr>
            <w:tcW w:w="537" w:type="pct"/>
            <w:vAlign w:val="bottom"/>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18 </w:t>
            </w:r>
          </w:p>
        </w:tc>
        <w:tc>
          <w:tcPr>
            <w:tcW w:w="537" w:type="pct"/>
            <w:vAlign w:val="bottom"/>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8 </w:t>
            </w:r>
          </w:p>
        </w:tc>
        <w:tc>
          <w:tcPr>
            <w:tcW w:w="537" w:type="pct"/>
            <w:vAlign w:val="bottom"/>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95 </w:t>
            </w:r>
          </w:p>
        </w:tc>
        <w:tc>
          <w:tcPr>
            <w:tcW w:w="416" w:type="pct"/>
            <w:vAlign w:val="bottom"/>
          </w:tcPr>
          <w:p w:rsidR="00D27889" w:rsidRPr="007952CA" w:rsidRDefault="00D27889" w:rsidP="007A1404">
            <w:pPr>
              <w:spacing w:line="360" w:lineRule="auto"/>
              <w:jc w:val="right"/>
              <w:rPr>
                <w:rFonts w:ascii="Garamond" w:hAnsi="Garamond"/>
                <w:color w:val="000000"/>
                <w:sz w:val="16"/>
                <w:szCs w:val="16"/>
              </w:rPr>
            </w:pPr>
            <w:r w:rsidRPr="007952CA">
              <w:rPr>
                <w:rFonts w:ascii="Garamond" w:hAnsi="Garamond"/>
                <w:color w:val="000000"/>
                <w:sz w:val="16"/>
                <w:szCs w:val="16"/>
              </w:rPr>
              <w:t>28</w:t>
            </w:r>
          </w:p>
        </w:tc>
        <w:tc>
          <w:tcPr>
            <w:tcW w:w="416" w:type="pct"/>
            <w:vAlign w:val="bottom"/>
          </w:tcPr>
          <w:p w:rsidR="00D27889" w:rsidRPr="001D59EE" w:rsidRDefault="00D27889" w:rsidP="007A1404">
            <w:pPr>
              <w:pStyle w:val="Default"/>
              <w:spacing w:line="360" w:lineRule="auto"/>
              <w:jc w:val="both"/>
              <w:rPr>
                <w:rFonts w:ascii="Garamond" w:hAnsi="Garamond"/>
                <w:sz w:val="16"/>
                <w:szCs w:val="16"/>
              </w:rPr>
            </w:pPr>
            <w:r w:rsidRPr="001D59EE">
              <w:rPr>
                <w:rFonts w:ascii="Garamond" w:hAnsi="Garamond"/>
                <w:sz w:val="16"/>
                <w:szCs w:val="16"/>
              </w:rPr>
              <w:t xml:space="preserve">40 </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69</w:t>
            </w:r>
          </w:p>
        </w:tc>
        <w:tc>
          <w:tcPr>
            <w:tcW w:w="416"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52</w:t>
            </w:r>
          </w:p>
        </w:tc>
        <w:tc>
          <w:tcPr>
            <w:tcW w:w="413" w:type="pct"/>
            <w:vAlign w:val="bottom"/>
          </w:tcPr>
          <w:p w:rsidR="00D27889" w:rsidRDefault="00D27889" w:rsidP="007A1404">
            <w:pPr>
              <w:spacing w:line="360" w:lineRule="auto"/>
              <w:jc w:val="right"/>
              <w:rPr>
                <w:rFonts w:ascii="Garamond" w:hAnsi="Garamond" w:cs="Arial"/>
                <w:sz w:val="16"/>
                <w:szCs w:val="16"/>
              </w:rPr>
            </w:pPr>
            <w:r>
              <w:rPr>
                <w:rFonts w:ascii="Garamond" w:hAnsi="Garamond" w:cs="Arial"/>
                <w:sz w:val="16"/>
                <w:szCs w:val="16"/>
              </w:rPr>
              <w:t>60</w:t>
            </w:r>
          </w:p>
        </w:tc>
      </w:tr>
    </w:tbl>
    <w:p w:rsidR="00247991" w:rsidRPr="00217328" w:rsidRDefault="00247991" w:rsidP="00432C32">
      <w:pPr>
        <w:spacing w:line="360" w:lineRule="auto"/>
        <w:jc w:val="both"/>
        <w:rPr>
          <w:rFonts w:ascii="Garamond" w:hAnsi="Garamond"/>
          <w:sz w:val="20"/>
          <w:szCs w:val="20"/>
        </w:rPr>
      </w:pPr>
      <w:r w:rsidRPr="00217328">
        <w:rPr>
          <w:rFonts w:ascii="Garamond" w:hAnsi="Garamond"/>
          <w:i/>
          <w:sz w:val="20"/>
          <w:szCs w:val="20"/>
        </w:rPr>
        <w:t>Source</w:t>
      </w:r>
      <w:r w:rsidRPr="00217328">
        <w:rPr>
          <w:rFonts w:ascii="Garamond" w:hAnsi="Garamond"/>
          <w:sz w:val="20"/>
          <w:szCs w:val="20"/>
        </w:rPr>
        <w:t xml:space="preserve">: </w:t>
      </w:r>
      <w:r w:rsidR="00A7511B">
        <w:rPr>
          <w:rFonts w:ascii="Garamond" w:hAnsi="Garamond"/>
          <w:sz w:val="20"/>
          <w:szCs w:val="20"/>
        </w:rPr>
        <w:t>UNCTAD FDI Database</w:t>
      </w:r>
      <w:r w:rsidRPr="00217328">
        <w:rPr>
          <w:rFonts w:ascii="Garamond" w:hAnsi="Garamond"/>
          <w:sz w:val="20"/>
          <w:szCs w:val="20"/>
        </w:rPr>
        <w:t xml:space="preserve">. </w:t>
      </w:r>
    </w:p>
    <w:p w:rsidR="00247991" w:rsidRDefault="00247991" w:rsidP="00432C32">
      <w:pPr>
        <w:spacing w:line="360" w:lineRule="auto"/>
        <w:jc w:val="both"/>
        <w:rPr>
          <w:rFonts w:ascii="Garamond" w:hAnsi="Garamond"/>
          <w:sz w:val="20"/>
          <w:szCs w:val="20"/>
        </w:rPr>
      </w:pPr>
    </w:p>
    <w:p w:rsidR="006C1ADD" w:rsidRPr="00856EDD" w:rsidRDefault="006C1ADD" w:rsidP="006C1ADD">
      <w:pPr>
        <w:spacing w:line="360" w:lineRule="auto"/>
        <w:jc w:val="both"/>
        <w:rPr>
          <w:rFonts w:ascii="Garamond" w:hAnsi="Garamond" w:cs="Arial"/>
          <w:b/>
          <w:i/>
        </w:rPr>
      </w:pPr>
      <w:r w:rsidRPr="004438A2">
        <w:rPr>
          <w:rFonts w:ascii="Garamond" w:hAnsi="Garamond" w:cs="Arial"/>
          <w:b/>
          <w:i/>
        </w:rPr>
        <w:t>FDI inflows in</w:t>
      </w:r>
      <w:r w:rsidR="00856EDD">
        <w:rPr>
          <w:rFonts w:ascii="Garamond" w:hAnsi="Garamond" w:cs="Arial"/>
          <w:b/>
          <w:i/>
        </w:rPr>
        <w:t>to</w:t>
      </w:r>
      <w:r w:rsidRPr="004438A2">
        <w:rPr>
          <w:rFonts w:ascii="Garamond" w:hAnsi="Garamond" w:cs="Arial"/>
          <w:b/>
          <w:i/>
        </w:rPr>
        <w:t xml:space="preserve"> SSA </w:t>
      </w:r>
      <w:r w:rsidR="00856EDD">
        <w:rPr>
          <w:rFonts w:ascii="Garamond" w:hAnsi="Garamond" w:cs="Arial"/>
          <w:b/>
          <w:i/>
        </w:rPr>
        <w:t>are</w:t>
      </w:r>
      <w:r w:rsidRPr="004438A2">
        <w:rPr>
          <w:rFonts w:ascii="Garamond" w:hAnsi="Garamond" w:cs="Arial"/>
          <w:b/>
          <w:i/>
        </w:rPr>
        <w:t xml:space="preserve"> highly volatile</w:t>
      </w:r>
      <w:r w:rsidR="00856EDD">
        <w:rPr>
          <w:rFonts w:ascii="Garamond" w:hAnsi="Garamond" w:cs="Arial"/>
          <w:b/>
          <w:i/>
        </w:rPr>
        <w:t xml:space="preserve">. </w:t>
      </w:r>
      <w:r w:rsidRPr="00217328">
        <w:rPr>
          <w:rFonts w:ascii="Garamond" w:hAnsi="Garamond" w:cs="Arial"/>
        </w:rPr>
        <w:t xml:space="preserve">The volatility of FDI inflows in </w:t>
      </w:r>
      <w:r>
        <w:rPr>
          <w:rFonts w:ascii="Garamond" w:hAnsi="Garamond" w:cs="Arial"/>
        </w:rPr>
        <w:t>SSA</w:t>
      </w:r>
      <w:r w:rsidRPr="00217328">
        <w:rPr>
          <w:rFonts w:ascii="Garamond" w:hAnsi="Garamond" w:cs="Arial"/>
        </w:rPr>
        <w:t xml:space="preserve"> economies is also discouraging. For instance, the average annual FDI inflows between 1970-1979 and 1990-1999 fluctuated between $2.7 million and $38.3 million for </w:t>
      </w:r>
      <w:smartTag w:uri="urn:schemas-microsoft-com:office:smarttags" w:element="country-region">
        <w:r w:rsidRPr="00217328">
          <w:rPr>
            <w:rFonts w:ascii="Garamond" w:hAnsi="Garamond" w:cs="Arial"/>
          </w:rPr>
          <w:t>Benin</w:t>
        </w:r>
      </w:smartTag>
      <w:r w:rsidRPr="00217328">
        <w:rPr>
          <w:rFonts w:ascii="Garamond" w:hAnsi="Garamond" w:cs="Arial"/>
        </w:rPr>
        <w:t xml:space="preserve">; $4.4 million and $0.9 million for Central African Republic (CAR); and $48 million and -$132 million for </w:t>
      </w:r>
      <w:smartTag w:uri="urn:schemas-microsoft-com:office:smarttags" w:element="place">
        <w:smartTag w:uri="urn:schemas-microsoft-com:office:smarttags" w:element="country-region">
          <w:r w:rsidRPr="00217328">
            <w:rPr>
              <w:rFonts w:ascii="Garamond" w:hAnsi="Garamond" w:cs="Arial"/>
            </w:rPr>
            <w:t>Gabon</w:t>
          </w:r>
        </w:smartTag>
      </w:smartTag>
      <w:r w:rsidRPr="00217328">
        <w:rPr>
          <w:rFonts w:ascii="Garamond" w:hAnsi="Garamond" w:cs="Arial"/>
        </w:rPr>
        <w:t xml:space="preserve">. </w:t>
      </w:r>
      <w:r>
        <w:rPr>
          <w:rFonts w:ascii="Garamond" w:hAnsi="Garamond" w:cs="Arial"/>
        </w:rPr>
        <w:t xml:space="preserve">As earlier mentioned, this is the same situation with South Africa. </w:t>
      </w:r>
      <w:r w:rsidRPr="00217328">
        <w:rPr>
          <w:rFonts w:ascii="Garamond" w:hAnsi="Garamond" w:cs="Arial"/>
        </w:rPr>
        <w:t>Furthermore, among the list of top 20 economies ranked by inward FDI Performance Index for 1994, 2004 and 2005, Republic of Congo, Democratic Republic of Congo and Angola are the only SSA countries included in the list (UNCTAD, 2006).  A greater number of countries in the region were rather classified as underperformers.</w:t>
      </w:r>
    </w:p>
    <w:p w:rsidR="006C1ADD" w:rsidRDefault="006C1ADD" w:rsidP="00432C32">
      <w:pPr>
        <w:spacing w:line="360" w:lineRule="auto"/>
        <w:jc w:val="both"/>
        <w:rPr>
          <w:rFonts w:ascii="Garamond" w:hAnsi="Garamond"/>
          <w:sz w:val="20"/>
          <w:szCs w:val="20"/>
        </w:rPr>
      </w:pPr>
    </w:p>
    <w:p w:rsidR="00CF6E4D" w:rsidRPr="00856EDD" w:rsidRDefault="006C1ADD" w:rsidP="00432C32">
      <w:pPr>
        <w:spacing w:line="360" w:lineRule="auto"/>
        <w:jc w:val="both"/>
        <w:rPr>
          <w:rFonts w:ascii="Garamond" w:hAnsi="Garamond"/>
          <w:b/>
          <w:i/>
        </w:rPr>
      </w:pPr>
      <w:r w:rsidRPr="006C1ADD">
        <w:rPr>
          <w:rFonts w:ascii="Garamond" w:hAnsi="Garamond"/>
          <w:b/>
          <w:i/>
        </w:rPr>
        <w:t xml:space="preserve">FDI inflows </w:t>
      </w:r>
      <w:r w:rsidR="00856EDD">
        <w:rPr>
          <w:rFonts w:ascii="Garamond" w:hAnsi="Garamond"/>
          <w:b/>
          <w:i/>
        </w:rPr>
        <w:t>are</w:t>
      </w:r>
      <w:r w:rsidRPr="006C1ADD">
        <w:rPr>
          <w:rFonts w:ascii="Garamond" w:hAnsi="Garamond"/>
          <w:b/>
          <w:i/>
        </w:rPr>
        <w:t xml:space="preserve"> dominated by resource availability and movements in commodity prices</w:t>
      </w:r>
      <w:r w:rsidR="00856EDD">
        <w:rPr>
          <w:rFonts w:ascii="Garamond" w:hAnsi="Garamond"/>
          <w:b/>
          <w:i/>
        </w:rPr>
        <w:t xml:space="preserve">. </w:t>
      </w:r>
      <w:r w:rsidR="000F5AF6" w:rsidRPr="00217328">
        <w:rPr>
          <w:rFonts w:ascii="Garamond" w:hAnsi="Garamond" w:cs="Arial"/>
        </w:rPr>
        <w:t>A</w:t>
      </w:r>
      <w:r w:rsidR="00CF6E4D" w:rsidRPr="00217328">
        <w:rPr>
          <w:rFonts w:ascii="Garamond" w:hAnsi="Garamond" w:cs="Arial"/>
        </w:rPr>
        <w:t xml:space="preserve"> </w:t>
      </w:r>
      <w:r w:rsidR="000F5AF6" w:rsidRPr="00217328">
        <w:rPr>
          <w:rFonts w:ascii="Garamond" w:hAnsi="Garamond" w:cs="Arial"/>
        </w:rPr>
        <w:t>striking</w:t>
      </w:r>
      <w:r w:rsidR="00CF6E4D" w:rsidRPr="00217328">
        <w:rPr>
          <w:rFonts w:ascii="Garamond" w:hAnsi="Garamond" w:cs="Arial"/>
        </w:rPr>
        <w:t xml:space="preserve"> pattern discernible from the nature of FDI inflows to SSA is that they are dominated by two major factors, namely, natural resource availability and sharp upward movement in commodity prices such as aluminium, copper, diamond, and oil which increased by over 400 per cent between 2000 and 2007 (UNCTAD, 2008). On the whole, resource-rich countries in the region accounted for more than 75 per cent of total FDI inflows. </w:t>
      </w:r>
      <w:r>
        <w:rPr>
          <w:rFonts w:ascii="Garamond" w:hAnsi="Garamond" w:cs="Arial"/>
        </w:rPr>
        <w:t xml:space="preserve">However, there are now emerging </w:t>
      </w:r>
      <w:r w:rsidR="00CF6E4D" w:rsidRPr="00217328">
        <w:rPr>
          <w:rFonts w:ascii="Garamond" w:hAnsi="Garamond" w:cs="Arial"/>
        </w:rPr>
        <w:t xml:space="preserve">number of SSA countries </w:t>
      </w:r>
      <w:r>
        <w:rPr>
          <w:rFonts w:ascii="Garamond" w:hAnsi="Garamond" w:cs="Arial"/>
        </w:rPr>
        <w:t xml:space="preserve">that </w:t>
      </w:r>
      <w:r w:rsidR="00CF6E4D" w:rsidRPr="00217328">
        <w:rPr>
          <w:rFonts w:ascii="Garamond" w:hAnsi="Garamond" w:cs="Arial"/>
        </w:rPr>
        <w:t xml:space="preserve">have successfully undertaken several reform programmes aimed at improving the macroeconomic and investment climate. These have further strengthened the confidence of foreign investors in these economies, thus further boosting FDI inflows to the region. </w:t>
      </w:r>
    </w:p>
    <w:p w:rsidR="00AF4C22" w:rsidRDefault="00AF4C22" w:rsidP="00432C32">
      <w:pPr>
        <w:spacing w:line="360" w:lineRule="auto"/>
        <w:jc w:val="both"/>
        <w:rPr>
          <w:rFonts w:ascii="Garamond" w:hAnsi="Garamond" w:cs="Arial"/>
        </w:rPr>
      </w:pPr>
    </w:p>
    <w:p w:rsidR="00432C32" w:rsidRPr="00856EDD" w:rsidRDefault="00AF6609" w:rsidP="00432C32">
      <w:pPr>
        <w:spacing w:line="360" w:lineRule="auto"/>
        <w:jc w:val="both"/>
        <w:rPr>
          <w:rFonts w:ascii="Garamond" w:hAnsi="Garamond" w:cs="Arial"/>
          <w:b/>
          <w:i/>
        </w:rPr>
      </w:pPr>
      <w:r w:rsidRPr="00AF6609">
        <w:rPr>
          <w:rFonts w:ascii="Garamond" w:hAnsi="Garamond" w:cs="Arial"/>
          <w:b/>
          <w:i/>
        </w:rPr>
        <w:t xml:space="preserve">South Africa differs from typical SSA countries </w:t>
      </w:r>
      <w:r w:rsidR="00856EDD">
        <w:rPr>
          <w:rFonts w:ascii="Garamond" w:hAnsi="Garamond" w:cs="Arial"/>
          <w:b/>
          <w:i/>
        </w:rPr>
        <w:t xml:space="preserve">in FDI attraction. </w:t>
      </w:r>
      <w:r w:rsidRPr="00AF6609">
        <w:rPr>
          <w:rFonts w:ascii="Garamond" w:hAnsi="Garamond" w:cs="Arial"/>
          <w:b/>
          <w:i/>
        </w:rPr>
        <w:t>by successfully attracting FDI across diverse sectors</w:t>
      </w:r>
      <w:r w:rsidR="00856EDD">
        <w:rPr>
          <w:rFonts w:ascii="Garamond" w:hAnsi="Garamond" w:cs="Arial"/>
          <w:b/>
          <w:i/>
        </w:rPr>
        <w:t xml:space="preserve">. </w:t>
      </w:r>
      <w:r w:rsidR="00EB5C14" w:rsidRPr="00217328">
        <w:rPr>
          <w:rFonts w:ascii="Garamond" w:eastAsia="Times New Roman" w:hAnsi="Garamond" w:cs="Arial"/>
        </w:rPr>
        <w:t xml:space="preserve">South Africa is </w:t>
      </w:r>
      <w:r w:rsidR="00856EDD">
        <w:rPr>
          <w:rFonts w:ascii="Garamond" w:eastAsia="Times New Roman" w:hAnsi="Garamond" w:cs="Arial"/>
        </w:rPr>
        <w:t xml:space="preserve">unique in its leadership role </w:t>
      </w:r>
      <w:r w:rsidR="00A4276F">
        <w:rPr>
          <w:rFonts w:ascii="Garamond" w:eastAsia="Times New Roman" w:hAnsi="Garamond" w:cs="Arial"/>
        </w:rPr>
        <w:t xml:space="preserve">among SSA countries </w:t>
      </w:r>
      <w:r w:rsidR="00856EDD">
        <w:rPr>
          <w:rFonts w:ascii="Garamond" w:eastAsia="Times New Roman" w:hAnsi="Garamond" w:cs="Arial"/>
        </w:rPr>
        <w:t xml:space="preserve">in attracting FDI into diverse sectors other than natural resource activities. </w:t>
      </w:r>
      <w:r w:rsidR="00EB5C14" w:rsidRPr="00217328">
        <w:rPr>
          <w:rFonts w:ascii="Garamond" w:eastAsia="Times New Roman" w:hAnsi="Garamond" w:cs="Arial"/>
        </w:rPr>
        <w:t>The country attracts FDI across a broad range of sectors,</w:t>
      </w:r>
      <w:r w:rsidR="00EB5C14" w:rsidRPr="00217328">
        <w:rPr>
          <w:rFonts w:ascii="Garamond" w:hAnsi="Garamond" w:cs="Arial"/>
        </w:rPr>
        <w:t xml:space="preserve"> implying that the large FDI inflow into the economy is not driven by resource-seeking motive. </w:t>
      </w:r>
      <w:r w:rsidR="00FF3AFF" w:rsidRPr="00217328">
        <w:rPr>
          <w:rFonts w:ascii="Garamond" w:eastAsia="Calibri" w:hAnsi="Garamond" w:cs="Arial"/>
        </w:rPr>
        <w:t xml:space="preserve">For instance, </w:t>
      </w:r>
      <w:r w:rsidR="00FF3AFF" w:rsidRPr="00217328">
        <w:rPr>
          <w:rFonts w:ascii="Garamond" w:eastAsia="Calibri" w:hAnsi="Garamond" w:cs="Arial"/>
          <w:color w:val="000000"/>
        </w:rPr>
        <w:t xml:space="preserve">Hawkins and </w:t>
      </w:r>
      <w:r w:rsidR="00FF3AFF" w:rsidRPr="00217328">
        <w:rPr>
          <w:rFonts w:ascii="Garamond" w:eastAsia="Calibri" w:hAnsi="Garamond" w:cs="Arial"/>
          <w:color w:val="000000"/>
        </w:rPr>
        <w:lastRenderedPageBreak/>
        <w:t xml:space="preserve">Lockwood (2001) found that out of the 165 firms surveyed, 67 are market-seeking, 12 are </w:t>
      </w:r>
      <w:r w:rsidR="00FF3AFF" w:rsidRPr="00217328">
        <w:rPr>
          <w:rFonts w:ascii="Garamond" w:eastAsia="Calibri" w:hAnsi="Garamond" w:cs="Arial"/>
        </w:rPr>
        <w:t xml:space="preserve">efficiency-seeking and the remaining ones are motivated by a combination of factors. Hence, the driving force behind FDI inflows in South Africa is </w:t>
      </w:r>
      <w:r w:rsidR="00EB5C14" w:rsidRPr="00217328">
        <w:rPr>
          <w:rFonts w:ascii="Garamond" w:hAnsi="Garamond" w:cs="Arial"/>
        </w:rPr>
        <w:t>the confidence foreign investors have in the economy, given its macroeconomic stability, policy certainty, sufficient fiscal incentives targeted at foreign investors, developed business infrastructure, and large size of the economy</w:t>
      </w:r>
      <w:r w:rsidR="00EB5C14" w:rsidRPr="00217328">
        <w:rPr>
          <w:rFonts w:ascii="Garamond" w:hAnsi="Garamond" w:cs="Arial"/>
          <w:lang w:val="yo-NG"/>
        </w:rPr>
        <w:t xml:space="preserve"> (Gelb, 2005)</w:t>
      </w:r>
      <w:r w:rsidR="00EB5C14" w:rsidRPr="00217328">
        <w:rPr>
          <w:rFonts w:ascii="Garamond" w:hAnsi="Garamond" w:cs="Arial"/>
        </w:rPr>
        <w:t>. Hence, the country was ranked 18</w:t>
      </w:r>
      <w:r w:rsidR="00EB5C14" w:rsidRPr="00217328">
        <w:rPr>
          <w:rFonts w:ascii="Garamond" w:hAnsi="Garamond" w:cs="Arial"/>
          <w:vertAlign w:val="superscript"/>
        </w:rPr>
        <w:t>th</w:t>
      </w:r>
      <w:r w:rsidR="00EB5C14" w:rsidRPr="00217328">
        <w:rPr>
          <w:rFonts w:ascii="Garamond" w:hAnsi="Garamond" w:cs="Arial"/>
        </w:rPr>
        <w:t xml:space="preserve"> in the A.T. Kearney’s 2007 FDI Confidence Index, the only African country that featured in the report (A. T. Kearny, 2007). In fact, South Africa came ahead of major FDI destinations such as </w:t>
      </w:r>
      <w:r w:rsidR="00EB5C14" w:rsidRPr="00217328">
        <w:rPr>
          <w:rFonts w:ascii="Garamond" w:hAnsi="Garamond" w:cs="Arial"/>
          <w:color w:val="242021"/>
        </w:rPr>
        <w:t xml:space="preserve">South Korea and Poland, among others. </w:t>
      </w:r>
    </w:p>
    <w:p w:rsidR="00432C32" w:rsidRDefault="00432C32" w:rsidP="00432C32">
      <w:pPr>
        <w:spacing w:line="360" w:lineRule="auto"/>
        <w:jc w:val="both"/>
        <w:rPr>
          <w:rFonts w:ascii="Garamond" w:hAnsi="Garamond" w:cs="Arial"/>
        </w:rPr>
      </w:pPr>
    </w:p>
    <w:p w:rsidR="00EB5C14" w:rsidRPr="00A4276F" w:rsidRDefault="00AF6609" w:rsidP="00432C32">
      <w:pPr>
        <w:spacing w:line="360" w:lineRule="auto"/>
        <w:jc w:val="both"/>
        <w:rPr>
          <w:rFonts w:ascii="Garamond" w:hAnsi="Garamond" w:cs="Arial"/>
          <w:b/>
          <w:i/>
        </w:rPr>
      </w:pPr>
      <w:r w:rsidRPr="006C1ADD">
        <w:rPr>
          <w:rFonts w:ascii="Garamond" w:hAnsi="Garamond" w:cs="Arial"/>
          <w:b/>
          <w:i/>
        </w:rPr>
        <w:t>South Africa is a major force in intra-A</w:t>
      </w:r>
      <w:r>
        <w:rPr>
          <w:rFonts w:ascii="Garamond" w:hAnsi="Garamond" w:cs="Arial"/>
          <w:b/>
          <w:i/>
        </w:rPr>
        <w:t xml:space="preserve">frican FDI </w:t>
      </w:r>
      <w:r w:rsidRPr="006C1ADD">
        <w:rPr>
          <w:rFonts w:ascii="Garamond" w:hAnsi="Garamond" w:cs="Arial"/>
          <w:b/>
          <w:i/>
        </w:rPr>
        <w:t>flows within the Southern Africa region</w:t>
      </w:r>
      <w:r w:rsidR="00A4276F">
        <w:rPr>
          <w:rFonts w:ascii="Garamond" w:hAnsi="Garamond" w:cs="Arial"/>
          <w:b/>
          <w:i/>
        </w:rPr>
        <w:t xml:space="preserve">. </w:t>
      </w:r>
      <w:r w:rsidR="00EB5C14" w:rsidRPr="00217328">
        <w:rPr>
          <w:rFonts w:ascii="Garamond" w:hAnsi="Garamond" w:cs="Arial"/>
        </w:rPr>
        <w:t xml:space="preserve">Another interesting feature of FDI in South Africa is the country’s leadership role in south-south FDI in SSA. It is indeed the only country that has consistent data on FDI outflows among the sample countries. The country recorded a mean annual outward FDI amounting to $70.7 million in the 1970s with a significant rise to $221 million in the 1980s. By 1997, the figure had reached about $2.4 billion. </w:t>
      </w:r>
      <w:r w:rsidR="00EB5C14" w:rsidRPr="00217328">
        <w:rPr>
          <w:rFonts w:ascii="Garamond" w:eastAsia="Times New Roman" w:hAnsi="Garamond" w:cs="Arial"/>
        </w:rPr>
        <w:t xml:space="preserve">In 1999, South Africa accounted for about 49% of the inward FDI stock in Botswana, of which 60% was through De Beers Diamonds subsidiary located in Luxembourg </w:t>
      </w:r>
      <w:r w:rsidR="00EB5C14" w:rsidRPr="00217328">
        <w:rPr>
          <w:rFonts w:ascii="Garamond" w:eastAsia="Times New Roman" w:hAnsi="Garamond" w:cs="Arial"/>
          <w:lang w:val="yo-NG"/>
        </w:rPr>
        <w:t>(UNCTAD, 2003)</w:t>
      </w:r>
      <w:r w:rsidR="00EB5C14" w:rsidRPr="00217328">
        <w:rPr>
          <w:rFonts w:ascii="Garamond" w:eastAsia="Times New Roman" w:hAnsi="Garamond" w:cs="Arial"/>
        </w:rPr>
        <w:t>. In 2003, 25% of total S</w:t>
      </w:r>
      <w:r w:rsidR="00016E36" w:rsidRPr="00217328">
        <w:rPr>
          <w:rFonts w:ascii="Garamond" w:eastAsia="Times New Roman" w:hAnsi="Garamond" w:cs="Arial"/>
        </w:rPr>
        <w:t xml:space="preserve">outhern African </w:t>
      </w:r>
      <w:r w:rsidR="00EB5C14" w:rsidRPr="00217328">
        <w:rPr>
          <w:rFonts w:ascii="Garamond" w:eastAsia="Times New Roman" w:hAnsi="Garamond" w:cs="Arial"/>
        </w:rPr>
        <w:t>D</w:t>
      </w:r>
      <w:r w:rsidR="00016E36" w:rsidRPr="00217328">
        <w:rPr>
          <w:rFonts w:ascii="Garamond" w:eastAsia="Times New Roman" w:hAnsi="Garamond" w:cs="Arial"/>
        </w:rPr>
        <w:t xml:space="preserve">evelopment </w:t>
      </w:r>
      <w:r w:rsidR="00EB5C14" w:rsidRPr="00217328">
        <w:rPr>
          <w:rFonts w:ascii="Garamond" w:eastAsia="Times New Roman" w:hAnsi="Garamond" w:cs="Arial"/>
        </w:rPr>
        <w:t>C</w:t>
      </w:r>
      <w:r w:rsidR="00016E36" w:rsidRPr="00217328">
        <w:rPr>
          <w:rFonts w:ascii="Garamond" w:eastAsia="Times New Roman" w:hAnsi="Garamond" w:cs="Arial"/>
        </w:rPr>
        <w:t>ommunity (SADC)</w:t>
      </w:r>
      <w:r w:rsidR="00EB5C14" w:rsidRPr="00217328">
        <w:rPr>
          <w:rFonts w:ascii="Garamond" w:eastAsia="Times New Roman" w:hAnsi="Garamond" w:cs="Arial"/>
        </w:rPr>
        <w:t xml:space="preserve"> FDI was from South Africa (African Development </w:t>
      </w:r>
      <w:r w:rsidR="002977F6" w:rsidRPr="00217328">
        <w:rPr>
          <w:rFonts w:ascii="Garamond" w:eastAsia="Times New Roman" w:hAnsi="Garamond" w:cs="Arial"/>
        </w:rPr>
        <w:t>Bank</w:t>
      </w:r>
      <w:r w:rsidR="00EB5C14" w:rsidRPr="00217328">
        <w:rPr>
          <w:rFonts w:ascii="Garamond" w:eastAsia="Times New Roman" w:hAnsi="Garamond" w:cs="Arial"/>
        </w:rPr>
        <w:t xml:space="preserve">, 2003). </w:t>
      </w:r>
      <w:r w:rsidR="00EB5C14" w:rsidRPr="00217328">
        <w:rPr>
          <w:rFonts w:ascii="Garamond" w:hAnsi="Garamond" w:cs="Arial"/>
        </w:rPr>
        <w:t xml:space="preserve">In 2004, 7% of total </w:t>
      </w:r>
      <w:r w:rsidR="00EB5C14" w:rsidRPr="00217328">
        <w:rPr>
          <w:rFonts w:ascii="Garamond" w:eastAsia="Times New Roman" w:hAnsi="Garamond" w:cs="Arial"/>
        </w:rPr>
        <w:t>South African FDI was directed at other African countries. While this figure may appear little, the weight of the country’s FDI is more felt within the Southern African region, accounting for 86% and 80% of total FDI inflows to Lesotho and Malawi, respectively (Page and Willem te Velde</w:t>
      </w:r>
      <w:r w:rsidR="00EB5C14" w:rsidRPr="00217328">
        <w:rPr>
          <w:rFonts w:ascii="Garamond" w:eastAsia="Times New Roman" w:hAnsi="Garamond" w:cs="Arial"/>
          <w:lang w:val="yo-NG"/>
        </w:rPr>
        <w:t>,</w:t>
      </w:r>
      <w:r w:rsidR="00EB5C14" w:rsidRPr="00217328">
        <w:rPr>
          <w:rFonts w:ascii="Garamond" w:eastAsia="Times New Roman" w:hAnsi="Garamond" w:cs="Arial"/>
        </w:rPr>
        <w:t xml:space="preserve"> 2004). </w:t>
      </w:r>
    </w:p>
    <w:p w:rsidR="00EB5C14" w:rsidRPr="00217328" w:rsidRDefault="00EB5C14" w:rsidP="00432C32">
      <w:pPr>
        <w:autoSpaceDE w:val="0"/>
        <w:autoSpaceDN w:val="0"/>
        <w:adjustRightInd w:val="0"/>
        <w:spacing w:line="360" w:lineRule="auto"/>
        <w:jc w:val="both"/>
        <w:rPr>
          <w:rFonts w:ascii="Garamond" w:hAnsi="Garamond"/>
        </w:rPr>
      </w:pPr>
    </w:p>
    <w:p w:rsidR="00EB5C14" w:rsidRPr="00217328" w:rsidRDefault="004B7809" w:rsidP="0001695B">
      <w:pPr>
        <w:autoSpaceDE w:val="0"/>
        <w:autoSpaceDN w:val="0"/>
        <w:adjustRightInd w:val="0"/>
        <w:spacing w:line="276" w:lineRule="auto"/>
        <w:jc w:val="both"/>
        <w:rPr>
          <w:rFonts w:ascii="Garamond" w:eastAsia="Times New Roman" w:hAnsi="Garamond"/>
        </w:rPr>
      </w:pPr>
      <w:r>
        <w:rPr>
          <w:rFonts w:ascii="Garamond" w:eastAsia="Times New Roman" w:hAnsi="Garamond"/>
          <w:noProof/>
          <w:lang w:val="en-US"/>
        </w:rPr>
        <w:lastRenderedPageBreak/>
        <w:drawing>
          <wp:inline distT="0" distB="0" distL="0" distR="0">
            <wp:extent cx="5512435" cy="3048000"/>
            <wp:effectExtent l="19050" t="0" r="12065"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5C14" w:rsidRPr="00217328" w:rsidRDefault="00516965" w:rsidP="0001695B">
      <w:pPr>
        <w:autoSpaceDE w:val="0"/>
        <w:autoSpaceDN w:val="0"/>
        <w:adjustRightInd w:val="0"/>
        <w:spacing w:line="276" w:lineRule="auto"/>
        <w:jc w:val="both"/>
        <w:rPr>
          <w:rFonts w:ascii="Garamond" w:eastAsia="Times New Roman" w:hAnsi="Garamond"/>
          <w:sz w:val="20"/>
          <w:szCs w:val="20"/>
        </w:rPr>
      </w:pPr>
      <w:r>
        <w:rPr>
          <w:rFonts w:ascii="Garamond" w:eastAsia="Times New Roman" w:hAnsi="Garamond"/>
          <w:i/>
          <w:sz w:val="20"/>
          <w:szCs w:val="20"/>
        </w:rPr>
        <w:t xml:space="preserve">   </w:t>
      </w:r>
      <w:r w:rsidR="00EB5C14" w:rsidRPr="00217328">
        <w:rPr>
          <w:rFonts w:ascii="Garamond" w:eastAsia="Times New Roman" w:hAnsi="Garamond"/>
          <w:i/>
          <w:sz w:val="20"/>
          <w:szCs w:val="20"/>
        </w:rPr>
        <w:t>Source</w:t>
      </w:r>
      <w:r w:rsidR="00EB5C14" w:rsidRPr="00217328">
        <w:rPr>
          <w:rFonts w:ascii="Garamond" w:eastAsia="Times New Roman" w:hAnsi="Garamond"/>
          <w:sz w:val="20"/>
          <w:szCs w:val="20"/>
        </w:rPr>
        <w:t>: Based on Information Provided in Page and Willem te Velde (2004).</w:t>
      </w:r>
    </w:p>
    <w:p w:rsidR="00EB5C14" w:rsidRPr="00217328" w:rsidRDefault="00EB5C14" w:rsidP="00432C32">
      <w:pPr>
        <w:spacing w:line="360" w:lineRule="auto"/>
        <w:jc w:val="both"/>
        <w:rPr>
          <w:rFonts w:ascii="Garamond" w:hAnsi="Garamond"/>
        </w:rPr>
      </w:pPr>
    </w:p>
    <w:p w:rsidR="00AB6898" w:rsidRPr="00A4276F" w:rsidRDefault="00930E9B" w:rsidP="00432C32">
      <w:pPr>
        <w:spacing w:line="360" w:lineRule="auto"/>
        <w:jc w:val="both"/>
        <w:rPr>
          <w:rFonts w:ascii="Garamond" w:hAnsi="Garamond" w:cs="Arial"/>
          <w:b/>
          <w:i/>
        </w:rPr>
      </w:pPr>
      <w:r w:rsidRPr="00930E9B">
        <w:rPr>
          <w:rFonts w:ascii="Garamond" w:hAnsi="Garamond" w:cs="Arial"/>
          <w:b/>
          <w:i/>
        </w:rPr>
        <w:t>Exchange rate has been volatile in SSA, possibly accounting for the relatively poor FDI inflows</w:t>
      </w:r>
      <w:r w:rsidR="00A4276F">
        <w:rPr>
          <w:rFonts w:ascii="Garamond" w:hAnsi="Garamond" w:cs="Arial"/>
          <w:b/>
          <w:i/>
        </w:rPr>
        <w:t xml:space="preserve">. </w:t>
      </w:r>
      <w:r w:rsidR="00CF6E4D" w:rsidRPr="00217328">
        <w:rPr>
          <w:rFonts w:ascii="Garamond" w:hAnsi="Garamond" w:cs="Arial"/>
        </w:rPr>
        <w:t xml:space="preserve">Given the general risk-averse nature of foreign investors, the growing risks in international investment transactions have prompted some of them to employ the services of professional risk assessment and management consultants. </w:t>
      </w:r>
      <w:r w:rsidR="00BF23C5" w:rsidRPr="00217328">
        <w:rPr>
          <w:rFonts w:ascii="Garamond" w:hAnsi="Garamond" w:cs="Arial"/>
        </w:rPr>
        <w:t>For the purpose of this paper, attention is focused only</w:t>
      </w:r>
      <w:r w:rsidR="00074755" w:rsidRPr="00217328">
        <w:rPr>
          <w:rFonts w:ascii="Garamond" w:hAnsi="Garamond" w:cs="Arial"/>
        </w:rPr>
        <w:t xml:space="preserve"> on exchange rate risks.</w:t>
      </w:r>
      <w:r w:rsidR="00247991" w:rsidRPr="00217328">
        <w:rPr>
          <w:rFonts w:ascii="Garamond" w:hAnsi="Garamond" w:cs="Arial"/>
        </w:rPr>
        <w:tab/>
        <w:t xml:space="preserve"> </w:t>
      </w:r>
    </w:p>
    <w:p w:rsidR="00AF4C22" w:rsidRDefault="00AF4C22" w:rsidP="00432C32">
      <w:pPr>
        <w:pStyle w:val="FootnoteText"/>
        <w:spacing w:line="360" w:lineRule="auto"/>
        <w:jc w:val="both"/>
        <w:rPr>
          <w:rFonts w:ascii="Garamond" w:hAnsi="Garamond" w:cs="Arial"/>
          <w:b/>
          <w:color w:val="292526"/>
        </w:rPr>
      </w:pPr>
    </w:p>
    <w:p w:rsidR="00CF6E4D" w:rsidRPr="00217328" w:rsidRDefault="00CF6E4D" w:rsidP="00432C32">
      <w:pPr>
        <w:pStyle w:val="FootnoteText"/>
        <w:spacing w:line="360" w:lineRule="auto"/>
        <w:jc w:val="both"/>
        <w:rPr>
          <w:rFonts w:ascii="Garamond" w:hAnsi="Garamond" w:cs="Arial"/>
          <w:color w:val="292526"/>
          <w:sz w:val="24"/>
          <w:szCs w:val="24"/>
        </w:rPr>
      </w:pPr>
      <w:r w:rsidRPr="00217328">
        <w:rPr>
          <w:rFonts w:ascii="Garamond" w:hAnsi="Garamond" w:cs="Arial"/>
          <w:sz w:val="24"/>
          <w:szCs w:val="24"/>
        </w:rPr>
        <w:t xml:space="preserve">The breakdown </w:t>
      </w:r>
      <w:r w:rsidR="000F5AF6" w:rsidRPr="00217328">
        <w:rPr>
          <w:rFonts w:ascii="Garamond" w:hAnsi="Garamond" w:cs="Arial"/>
          <w:sz w:val="24"/>
          <w:szCs w:val="24"/>
        </w:rPr>
        <w:t>of</w:t>
      </w:r>
      <w:r w:rsidRPr="00217328">
        <w:rPr>
          <w:rFonts w:ascii="Garamond" w:hAnsi="Garamond" w:cs="Arial"/>
          <w:sz w:val="24"/>
          <w:szCs w:val="24"/>
        </w:rPr>
        <w:t xml:space="preserve"> the Bretton Woods </w:t>
      </w:r>
      <w:r w:rsidRPr="00217328">
        <w:rPr>
          <w:rFonts w:ascii="Garamond" w:eastAsia="PMingLiU" w:hAnsi="Garamond" w:cs="Arial"/>
          <w:sz w:val="24"/>
          <w:szCs w:val="24"/>
        </w:rPr>
        <w:t>system of fixed exchange rates</w:t>
      </w:r>
      <w:r w:rsidR="00497EAF" w:rsidRPr="00217328">
        <w:rPr>
          <w:rStyle w:val="FootnoteReference"/>
          <w:rFonts w:ascii="Garamond" w:eastAsia="PMingLiU" w:hAnsi="Garamond" w:cs="Arial"/>
          <w:sz w:val="24"/>
          <w:szCs w:val="24"/>
        </w:rPr>
        <w:footnoteReference w:id="2"/>
      </w:r>
      <w:r w:rsidRPr="00217328">
        <w:rPr>
          <w:rFonts w:ascii="Garamond" w:eastAsia="PMingLiU" w:hAnsi="Garamond" w:cs="Arial"/>
          <w:sz w:val="24"/>
          <w:szCs w:val="24"/>
        </w:rPr>
        <w:t xml:space="preserve"> in 1973 resulted in wide variations in both the nominal and real exchange rates of most economies including those of SSA. </w:t>
      </w:r>
      <w:r w:rsidRPr="00217328">
        <w:rPr>
          <w:rFonts w:ascii="Garamond" w:hAnsi="Garamond" w:cs="Arial"/>
          <w:color w:val="292526"/>
          <w:sz w:val="24"/>
          <w:szCs w:val="24"/>
        </w:rPr>
        <w:t xml:space="preserve">The structural adjustment programme (SAP) adopted by </w:t>
      </w:r>
      <w:r w:rsidR="00497EAF" w:rsidRPr="00217328">
        <w:rPr>
          <w:rFonts w:ascii="Garamond" w:hAnsi="Garamond" w:cs="Arial"/>
          <w:color w:val="292526"/>
          <w:sz w:val="24"/>
          <w:szCs w:val="24"/>
        </w:rPr>
        <w:t>s</w:t>
      </w:r>
      <w:r w:rsidRPr="00217328">
        <w:rPr>
          <w:rFonts w:ascii="Garamond" w:hAnsi="Garamond" w:cs="Arial"/>
          <w:color w:val="292526"/>
          <w:sz w:val="24"/>
          <w:szCs w:val="24"/>
        </w:rPr>
        <w:t>e</w:t>
      </w:r>
      <w:r w:rsidR="00497EAF" w:rsidRPr="00217328">
        <w:rPr>
          <w:rFonts w:ascii="Garamond" w:hAnsi="Garamond" w:cs="Arial"/>
          <w:color w:val="292526"/>
          <w:sz w:val="24"/>
          <w:szCs w:val="24"/>
        </w:rPr>
        <w:t>veral</w:t>
      </w:r>
      <w:r w:rsidRPr="00217328">
        <w:rPr>
          <w:rFonts w:ascii="Garamond" w:hAnsi="Garamond" w:cs="Arial"/>
          <w:color w:val="292526"/>
          <w:sz w:val="24"/>
          <w:szCs w:val="24"/>
        </w:rPr>
        <w:t xml:space="preserve"> SSA countries during the 1980s further </w:t>
      </w:r>
      <w:r w:rsidR="000F5AF6" w:rsidRPr="00217328">
        <w:rPr>
          <w:rFonts w:ascii="Garamond" w:hAnsi="Garamond" w:cs="Arial"/>
          <w:color w:val="292526"/>
          <w:sz w:val="24"/>
          <w:szCs w:val="24"/>
        </w:rPr>
        <w:t>exacerbated</w:t>
      </w:r>
      <w:r w:rsidRPr="00217328">
        <w:rPr>
          <w:rFonts w:ascii="Garamond" w:hAnsi="Garamond" w:cs="Arial"/>
          <w:color w:val="292526"/>
          <w:sz w:val="24"/>
          <w:szCs w:val="24"/>
        </w:rPr>
        <w:t xml:space="preserve"> this volatility. As revealed in Tabl</w:t>
      </w:r>
      <w:r w:rsidR="00DE4D49">
        <w:rPr>
          <w:rFonts w:ascii="Garamond" w:hAnsi="Garamond" w:cs="Arial"/>
          <w:color w:val="292526"/>
          <w:sz w:val="24"/>
          <w:szCs w:val="24"/>
        </w:rPr>
        <w:t>e 4</w:t>
      </w:r>
      <w:r w:rsidRPr="00217328">
        <w:rPr>
          <w:rFonts w:ascii="Garamond" w:hAnsi="Garamond" w:cs="Arial"/>
          <w:color w:val="292526"/>
          <w:sz w:val="24"/>
          <w:szCs w:val="24"/>
        </w:rPr>
        <w:t xml:space="preserve">, the </w:t>
      </w:r>
      <w:r w:rsidR="0032263B" w:rsidRPr="00217328">
        <w:rPr>
          <w:rFonts w:ascii="Garamond" w:hAnsi="Garamond" w:cs="Arial"/>
          <w:color w:val="292526"/>
          <w:sz w:val="24"/>
          <w:szCs w:val="24"/>
        </w:rPr>
        <w:t xml:space="preserve">average </w:t>
      </w:r>
      <w:r w:rsidR="00497EAF" w:rsidRPr="00217328">
        <w:rPr>
          <w:rFonts w:ascii="Garamond" w:hAnsi="Garamond" w:cs="Arial"/>
          <w:color w:val="292526"/>
          <w:sz w:val="24"/>
          <w:szCs w:val="24"/>
        </w:rPr>
        <w:t>percentage changes</w:t>
      </w:r>
      <w:r w:rsidR="00BF23C5" w:rsidRPr="00217328">
        <w:rPr>
          <w:rFonts w:ascii="Garamond" w:hAnsi="Garamond" w:cs="Arial"/>
          <w:color w:val="292526"/>
          <w:sz w:val="24"/>
          <w:szCs w:val="24"/>
        </w:rPr>
        <w:t xml:space="preserve"> in </w:t>
      </w:r>
      <w:r w:rsidR="00DE4D49">
        <w:rPr>
          <w:rFonts w:ascii="Garamond" w:hAnsi="Garamond" w:cs="Arial"/>
          <w:color w:val="292526"/>
          <w:sz w:val="24"/>
          <w:szCs w:val="24"/>
        </w:rPr>
        <w:t xml:space="preserve">official </w:t>
      </w:r>
      <w:r w:rsidR="00497EAF" w:rsidRPr="00217328">
        <w:rPr>
          <w:rFonts w:ascii="Garamond" w:hAnsi="Garamond" w:cs="Arial"/>
          <w:color w:val="292526"/>
          <w:sz w:val="24"/>
          <w:szCs w:val="24"/>
        </w:rPr>
        <w:t>nominal exchange rates of selected</w:t>
      </w:r>
      <w:r w:rsidR="00BF23C5" w:rsidRPr="00217328">
        <w:rPr>
          <w:rFonts w:ascii="Garamond" w:hAnsi="Garamond" w:cs="Arial"/>
          <w:color w:val="292526"/>
          <w:sz w:val="24"/>
          <w:szCs w:val="24"/>
        </w:rPr>
        <w:t xml:space="preserve"> SSA countries during the </w:t>
      </w:r>
      <w:r w:rsidR="00DE4D49">
        <w:rPr>
          <w:rFonts w:ascii="Garamond" w:hAnsi="Garamond" w:cs="Arial"/>
          <w:color w:val="292526"/>
          <w:sz w:val="24"/>
          <w:szCs w:val="24"/>
        </w:rPr>
        <w:t xml:space="preserve">1960s were unchanged followed by relative stability in the </w:t>
      </w:r>
      <w:r w:rsidR="00BF23C5" w:rsidRPr="00217328">
        <w:rPr>
          <w:rFonts w:ascii="Garamond" w:hAnsi="Garamond" w:cs="Arial"/>
          <w:color w:val="292526"/>
          <w:sz w:val="24"/>
          <w:szCs w:val="24"/>
        </w:rPr>
        <w:t>1970</w:t>
      </w:r>
      <w:r w:rsidR="00DE4D49">
        <w:rPr>
          <w:rFonts w:ascii="Garamond" w:hAnsi="Garamond" w:cs="Arial"/>
          <w:color w:val="292526"/>
          <w:sz w:val="24"/>
          <w:szCs w:val="24"/>
        </w:rPr>
        <w:t>s. From 1980s, major spikes began to emerge</w:t>
      </w:r>
      <w:r w:rsidRPr="00217328">
        <w:rPr>
          <w:rFonts w:ascii="Garamond" w:hAnsi="Garamond" w:cs="Arial"/>
          <w:color w:val="292526"/>
          <w:sz w:val="24"/>
          <w:szCs w:val="24"/>
        </w:rPr>
        <w:t xml:space="preserve">. For instance, while Kenya had </w:t>
      </w:r>
      <w:r w:rsidR="000F5AF6" w:rsidRPr="00217328">
        <w:rPr>
          <w:rFonts w:ascii="Garamond" w:hAnsi="Garamond" w:cs="Arial"/>
          <w:color w:val="292526"/>
          <w:sz w:val="24"/>
          <w:szCs w:val="24"/>
        </w:rPr>
        <w:t xml:space="preserve">an </w:t>
      </w:r>
      <w:r w:rsidRPr="00217328">
        <w:rPr>
          <w:rFonts w:ascii="Garamond" w:hAnsi="Garamond" w:cs="Arial"/>
          <w:color w:val="292526"/>
          <w:sz w:val="24"/>
          <w:szCs w:val="24"/>
        </w:rPr>
        <w:t>averag</w:t>
      </w:r>
      <w:r w:rsidR="000F5AF6" w:rsidRPr="00217328">
        <w:rPr>
          <w:rFonts w:ascii="Garamond" w:hAnsi="Garamond" w:cs="Arial"/>
          <w:color w:val="292526"/>
          <w:sz w:val="24"/>
          <w:szCs w:val="24"/>
        </w:rPr>
        <w:t>e annual exchange rate</w:t>
      </w:r>
      <w:r w:rsidR="00DE4D49">
        <w:rPr>
          <w:rFonts w:ascii="Garamond" w:hAnsi="Garamond" w:cs="Arial"/>
          <w:color w:val="292526"/>
          <w:sz w:val="24"/>
          <w:szCs w:val="24"/>
        </w:rPr>
        <w:t xml:space="preserve"> of 0.6</w:t>
      </w:r>
      <w:r w:rsidR="00BF23C5" w:rsidRPr="00217328">
        <w:rPr>
          <w:rFonts w:ascii="Garamond" w:hAnsi="Garamond" w:cs="Arial"/>
          <w:color w:val="292526"/>
          <w:sz w:val="24"/>
          <w:szCs w:val="24"/>
        </w:rPr>
        <w:t xml:space="preserve"> per </w:t>
      </w:r>
      <w:r w:rsidR="0032263B" w:rsidRPr="00217328">
        <w:rPr>
          <w:rFonts w:ascii="Garamond" w:hAnsi="Garamond" w:cs="Arial"/>
          <w:color w:val="292526"/>
          <w:sz w:val="24"/>
          <w:szCs w:val="24"/>
        </w:rPr>
        <w:t>c</w:t>
      </w:r>
      <w:r w:rsidR="00BF23C5" w:rsidRPr="00217328">
        <w:rPr>
          <w:rFonts w:ascii="Garamond" w:hAnsi="Garamond" w:cs="Arial"/>
          <w:color w:val="292526"/>
          <w:sz w:val="24"/>
          <w:szCs w:val="24"/>
        </w:rPr>
        <w:t>ent</w:t>
      </w:r>
      <w:r w:rsidRPr="00217328">
        <w:rPr>
          <w:rFonts w:ascii="Garamond" w:hAnsi="Garamond" w:cs="Arial"/>
          <w:color w:val="292526"/>
          <w:sz w:val="24"/>
          <w:szCs w:val="24"/>
        </w:rPr>
        <w:t xml:space="preserve"> dur</w:t>
      </w:r>
      <w:r w:rsidR="00DE4D49">
        <w:rPr>
          <w:rFonts w:ascii="Garamond" w:hAnsi="Garamond" w:cs="Arial"/>
          <w:color w:val="292526"/>
          <w:sz w:val="24"/>
          <w:szCs w:val="24"/>
        </w:rPr>
        <w:t>ing 1970s</w:t>
      </w:r>
      <w:r w:rsidR="00BF23C5" w:rsidRPr="00217328">
        <w:rPr>
          <w:rFonts w:ascii="Garamond" w:hAnsi="Garamond" w:cs="Arial"/>
          <w:color w:val="292526"/>
          <w:sz w:val="24"/>
          <w:szCs w:val="24"/>
        </w:rPr>
        <w:t xml:space="preserve">, the </w:t>
      </w:r>
      <w:r w:rsidR="000F5AF6" w:rsidRPr="00217328">
        <w:rPr>
          <w:rFonts w:ascii="Garamond" w:hAnsi="Garamond" w:cs="Arial"/>
          <w:color w:val="292526"/>
          <w:sz w:val="24"/>
          <w:szCs w:val="24"/>
        </w:rPr>
        <w:t>figure</w:t>
      </w:r>
      <w:r w:rsidR="00BF23C5" w:rsidRPr="00217328">
        <w:rPr>
          <w:rFonts w:ascii="Garamond" w:hAnsi="Garamond" w:cs="Arial"/>
          <w:color w:val="292526"/>
          <w:sz w:val="24"/>
          <w:szCs w:val="24"/>
        </w:rPr>
        <w:t xml:space="preserve"> increased to </w:t>
      </w:r>
      <w:r w:rsidR="00DE4D49">
        <w:rPr>
          <w:rFonts w:ascii="Garamond" w:hAnsi="Garamond" w:cs="Arial"/>
          <w:color w:val="292526"/>
          <w:sz w:val="24"/>
          <w:szCs w:val="24"/>
        </w:rPr>
        <w:t>11</w:t>
      </w:r>
      <w:r w:rsidR="00BF23C5" w:rsidRPr="00217328">
        <w:rPr>
          <w:rFonts w:ascii="Garamond" w:hAnsi="Garamond" w:cs="Arial"/>
          <w:color w:val="292526"/>
          <w:sz w:val="24"/>
          <w:szCs w:val="24"/>
        </w:rPr>
        <w:t xml:space="preserve"> per cent in the 1980</w:t>
      </w:r>
      <w:r w:rsidR="00DE4D49">
        <w:rPr>
          <w:rFonts w:ascii="Garamond" w:hAnsi="Garamond" w:cs="Arial"/>
          <w:color w:val="292526"/>
          <w:sz w:val="24"/>
          <w:szCs w:val="24"/>
        </w:rPr>
        <w:t>s</w:t>
      </w:r>
      <w:r w:rsidR="000F5AF6" w:rsidRPr="00217328">
        <w:rPr>
          <w:rFonts w:ascii="Garamond" w:hAnsi="Garamond" w:cs="Arial"/>
          <w:color w:val="292526"/>
          <w:sz w:val="24"/>
          <w:szCs w:val="24"/>
        </w:rPr>
        <w:t xml:space="preserve"> </w:t>
      </w:r>
      <w:r w:rsidR="00DE4D49">
        <w:rPr>
          <w:rFonts w:ascii="Garamond" w:hAnsi="Garamond" w:cs="Arial"/>
          <w:color w:val="292526"/>
          <w:sz w:val="24"/>
          <w:szCs w:val="24"/>
        </w:rPr>
        <w:t>with a further rise to 15</w:t>
      </w:r>
      <w:r w:rsidR="00BF23C5" w:rsidRPr="00217328">
        <w:rPr>
          <w:rFonts w:ascii="Garamond" w:hAnsi="Garamond" w:cs="Arial"/>
          <w:color w:val="292526"/>
          <w:sz w:val="24"/>
          <w:szCs w:val="24"/>
        </w:rPr>
        <w:t xml:space="preserve"> per cent</w:t>
      </w:r>
      <w:r w:rsidR="00DE4D49">
        <w:rPr>
          <w:rFonts w:ascii="Garamond" w:hAnsi="Garamond" w:cs="Arial"/>
          <w:color w:val="292526"/>
          <w:sz w:val="24"/>
          <w:szCs w:val="24"/>
        </w:rPr>
        <w:t xml:space="preserve"> during 1990s</w:t>
      </w:r>
      <w:r w:rsidRPr="00217328">
        <w:rPr>
          <w:rFonts w:ascii="Garamond" w:hAnsi="Garamond" w:cs="Arial"/>
          <w:color w:val="292526"/>
          <w:sz w:val="24"/>
          <w:szCs w:val="24"/>
        </w:rPr>
        <w:t xml:space="preserve">. However, this seems to taper off in subsequent years. Democratic Republic of Congo </w:t>
      </w:r>
      <w:r w:rsidR="000F5AF6" w:rsidRPr="00217328">
        <w:rPr>
          <w:rFonts w:ascii="Garamond" w:hAnsi="Garamond" w:cs="Arial"/>
          <w:color w:val="292526"/>
          <w:sz w:val="24"/>
          <w:szCs w:val="24"/>
        </w:rPr>
        <w:t>appear</w:t>
      </w:r>
      <w:r w:rsidRPr="00217328">
        <w:rPr>
          <w:rFonts w:ascii="Garamond" w:hAnsi="Garamond" w:cs="Arial"/>
          <w:color w:val="292526"/>
          <w:sz w:val="24"/>
          <w:szCs w:val="24"/>
        </w:rPr>
        <w:t xml:space="preserve"> to have the largest exchange rate movements among the </w:t>
      </w:r>
      <w:r w:rsidR="00DE4D49">
        <w:rPr>
          <w:rFonts w:ascii="Garamond" w:hAnsi="Garamond" w:cs="Arial"/>
          <w:color w:val="292526"/>
          <w:sz w:val="24"/>
          <w:szCs w:val="24"/>
        </w:rPr>
        <w:t xml:space="preserve">selected </w:t>
      </w:r>
      <w:r w:rsidR="000F5AF6" w:rsidRPr="00217328">
        <w:rPr>
          <w:rFonts w:ascii="Garamond" w:hAnsi="Garamond" w:cs="Arial"/>
          <w:color w:val="292526"/>
          <w:sz w:val="24"/>
          <w:szCs w:val="24"/>
        </w:rPr>
        <w:t>countries presented in Table 4</w:t>
      </w:r>
      <w:r w:rsidRPr="00217328">
        <w:rPr>
          <w:rFonts w:ascii="Garamond" w:hAnsi="Garamond" w:cs="Arial"/>
          <w:color w:val="292526"/>
          <w:sz w:val="24"/>
          <w:szCs w:val="24"/>
        </w:rPr>
        <w:t>. Even the Francophone countries that maintain</w:t>
      </w:r>
      <w:r w:rsidR="00DE4D49">
        <w:rPr>
          <w:rFonts w:ascii="Garamond" w:hAnsi="Garamond" w:cs="Arial"/>
          <w:color w:val="292526"/>
          <w:sz w:val="24"/>
          <w:szCs w:val="24"/>
        </w:rPr>
        <w:t>ed</w:t>
      </w:r>
      <w:r w:rsidRPr="00217328">
        <w:rPr>
          <w:rFonts w:ascii="Garamond" w:hAnsi="Garamond" w:cs="Arial"/>
          <w:color w:val="292526"/>
          <w:sz w:val="24"/>
          <w:szCs w:val="24"/>
        </w:rPr>
        <w:t xml:space="preserve"> a pegged exchange rate arrangement with the French francs experience</w:t>
      </w:r>
      <w:r w:rsidR="000F5AF6" w:rsidRPr="00217328">
        <w:rPr>
          <w:rFonts w:ascii="Garamond" w:hAnsi="Garamond" w:cs="Arial"/>
          <w:color w:val="292526"/>
          <w:sz w:val="24"/>
          <w:szCs w:val="24"/>
        </w:rPr>
        <w:t>d</w:t>
      </w:r>
      <w:r w:rsidRPr="00217328">
        <w:rPr>
          <w:rFonts w:ascii="Garamond" w:hAnsi="Garamond" w:cs="Arial"/>
          <w:color w:val="292526"/>
          <w:sz w:val="24"/>
          <w:szCs w:val="24"/>
        </w:rPr>
        <w:t xml:space="preserve"> wide swings in their exchange rates. </w:t>
      </w:r>
      <w:r w:rsidR="00DE4D49">
        <w:rPr>
          <w:rFonts w:ascii="Garamond" w:hAnsi="Garamond" w:cs="Arial"/>
          <w:color w:val="292526"/>
          <w:sz w:val="24"/>
          <w:szCs w:val="24"/>
        </w:rPr>
        <w:t xml:space="preserve">Given the risks </w:t>
      </w:r>
      <w:r w:rsidR="00EA7AC8">
        <w:rPr>
          <w:rFonts w:ascii="Garamond" w:hAnsi="Garamond" w:cs="Arial"/>
          <w:color w:val="292526"/>
          <w:sz w:val="24"/>
          <w:szCs w:val="24"/>
        </w:rPr>
        <w:t xml:space="preserve">and uncertainties </w:t>
      </w:r>
      <w:r w:rsidR="00DE4D49">
        <w:rPr>
          <w:rFonts w:ascii="Garamond" w:hAnsi="Garamond" w:cs="Arial"/>
          <w:color w:val="292526"/>
          <w:sz w:val="24"/>
          <w:szCs w:val="24"/>
        </w:rPr>
        <w:t>associated with exchange rate movements, this wide and varying exchange rate is possible the source of dwindling FDI inflows in SSA</w:t>
      </w:r>
      <w:r w:rsidR="00EA7AC8">
        <w:rPr>
          <w:rFonts w:ascii="Garamond" w:hAnsi="Garamond" w:cs="Arial"/>
          <w:color w:val="292526"/>
          <w:sz w:val="24"/>
          <w:szCs w:val="24"/>
        </w:rPr>
        <w:t xml:space="preserve">. </w:t>
      </w:r>
    </w:p>
    <w:p w:rsidR="00497EAF" w:rsidRDefault="00497EAF" w:rsidP="00432C32">
      <w:pPr>
        <w:pStyle w:val="FootnoteText"/>
        <w:spacing w:line="360" w:lineRule="auto"/>
        <w:jc w:val="both"/>
        <w:rPr>
          <w:rFonts w:ascii="Garamond" w:hAnsi="Garamond"/>
          <w:color w:val="292526"/>
          <w:sz w:val="24"/>
          <w:szCs w:val="24"/>
        </w:rPr>
      </w:pPr>
    </w:p>
    <w:p w:rsidR="00CF6E4D" w:rsidRPr="00217328" w:rsidRDefault="004230B6" w:rsidP="00432C32">
      <w:pPr>
        <w:spacing w:line="360" w:lineRule="auto"/>
        <w:jc w:val="both"/>
        <w:rPr>
          <w:rFonts w:ascii="Garamond" w:hAnsi="Garamond"/>
          <w:b/>
          <w:color w:val="292526"/>
        </w:rPr>
      </w:pPr>
      <w:r w:rsidRPr="00217328">
        <w:rPr>
          <w:rFonts w:ascii="Garamond" w:hAnsi="Garamond"/>
          <w:b/>
          <w:color w:val="292526"/>
        </w:rPr>
        <w:t>Table 4</w:t>
      </w:r>
      <w:r w:rsidR="00CF6E4D" w:rsidRPr="00217328">
        <w:rPr>
          <w:rFonts w:ascii="Garamond" w:hAnsi="Garamond"/>
          <w:b/>
          <w:color w:val="292526"/>
        </w:rPr>
        <w:t xml:space="preserve">: </w:t>
      </w:r>
      <w:r w:rsidR="00DE4D49">
        <w:rPr>
          <w:rFonts w:ascii="Garamond" w:hAnsi="Garamond"/>
          <w:b/>
          <w:color w:val="292526"/>
        </w:rPr>
        <w:t>Official</w:t>
      </w:r>
      <w:r w:rsidR="00CF6E4D" w:rsidRPr="00217328">
        <w:rPr>
          <w:rFonts w:ascii="Garamond" w:hAnsi="Garamond"/>
          <w:b/>
          <w:color w:val="292526"/>
        </w:rPr>
        <w:t xml:space="preserve"> Exchange Rate Changes in Selected SSA Countries</w:t>
      </w:r>
      <w:r w:rsidR="00DE4D49">
        <w:rPr>
          <w:rFonts w:ascii="Garamond" w:hAnsi="Garamond"/>
          <w:b/>
          <w:color w:val="292526"/>
        </w:rPr>
        <w:t>, 1960-2008</w:t>
      </w:r>
      <w:r w:rsidR="00CF6E4D" w:rsidRPr="00217328">
        <w:rPr>
          <w:rFonts w:ascii="Garamond" w:hAnsi="Garamond"/>
          <w:b/>
          <w:color w:val="292526"/>
        </w:rPr>
        <w:t xml:space="preserve"> (%)</w:t>
      </w:r>
    </w:p>
    <w:tbl>
      <w:tblPr>
        <w:tblW w:w="956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1027"/>
        <w:gridCol w:w="1341"/>
        <w:gridCol w:w="1170"/>
        <w:gridCol w:w="900"/>
        <w:gridCol w:w="900"/>
        <w:gridCol w:w="990"/>
        <w:gridCol w:w="900"/>
        <w:gridCol w:w="990"/>
        <w:gridCol w:w="1350"/>
      </w:tblGrid>
      <w:tr w:rsidR="00930E9B" w:rsidRPr="00217328" w:rsidTr="00930E9B">
        <w:trPr>
          <w:tblCellSpacing w:w="20" w:type="dxa"/>
        </w:trPr>
        <w:tc>
          <w:tcPr>
            <w:tcW w:w="967" w:type="dxa"/>
            <w:shd w:val="clear" w:color="auto" w:fill="auto"/>
          </w:tcPr>
          <w:p w:rsidR="00CF6E4D" w:rsidRPr="00217328" w:rsidRDefault="00CF6E4D" w:rsidP="007A1404">
            <w:pPr>
              <w:spacing w:line="360" w:lineRule="auto"/>
              <w:jc w:val="both"/>
              <w:rPr>
                <w:rFonts w:ascii="Garamond" w:hAnsi="Garamond"/>
                <w:sz w:val="20"/>
                <w:szCs w:val="20"/>
              </w:rPr>
            </w:pPr>
            <w:r w:rsidRPr="00217328">
              <w:rPr>
                <w:rFonts w:ascii="Garamond" w:hAnsi="Garamond"/>
                <w:sz w:val="20"/>
                <w:szCs w:val="20"/>
              </w:rPr>
              <w:t>Year/</w:t>
            </w:r>
          </w:p>
          <w:p w:rsidR="00CF6E4D" w:rsidRPr="00217328" w:rsidRDefault="00CF6E4D" w:rsidP="007A1404">
            <w:pPr>
              <w:spacing w:line="360" w:lineRule="auto"/>
              <w:jc w:val="both"/>
              <w:rPr>
                <w:rFonts w:ascii="Garamond" w:hAnsi="Garamond"/>
                <w:sz w:val="20"/>
                <w:szCs w:val="20"/>
              </w:rPr>
            </w:pPr>
            <w:r w:rsidRPr="00217328">
              <w:rPr>
                <w:rFonts w:ascii="Garamond" w:hAnsi="Garamond"/>
                <w:sz w:val="20"/>
                <w:szCs w:val="20"/>
              </w:rPr>
              <w:t>Country</w:t>
            </w:r>
          </w:p>
        </w:tc>
        <w:tc>
          <w:tcPr>
            <w:tcW w:w="1301" w:type="dxa"/>
            <w:shd w:val="clear" w:color="auto" w:fill="auto"/>
          </w:tcPr>
          <w:p w:rsidR="00CF6E4D" w:rsidRPr="00930E9B" w:rsidRDefault="00CF6E4D" w:rsidP="007A1404">
            <w:pPr>
              <w:spacing w:line="360" w:lineRule="auto"/>
              <w:jc w:val="both"/>
              <w:rPr>
                <w:rFonts w:ascii="Garamond" w:hAnsi="Garamond"/>
                <w:b/>
                <w:sz w:val="20"/>
                <w:szCs w:val="20"/>
              </w:rPr>
            </w:pPr>
            <w:r w:rsidRPr="00930E9B">
              <w:rPr>
                <w:rFonts w:ascii="Garamond" w:hAnsi="Garamond"/>
                <w:b/>
                <w:sz w:val="20"/>
                <w:szCs w:val="20"/>
              </w:rPr>
              <w:t>Cameroon</w:t>
            </w:r>
          </w:p>
        </w:tc>
        <w:tc>
          <w:tcPr>
            <w:tcW w:w="1130" w:type="dxa"/>
            <w:shd w:val="clear" w:color="auto" w:fill="auto"/>
          </w:tcPr>
          <w:p w:rsidR="00CF6E4D" w:rsidRPr="00930E9B" w:rsidRDefault="00CF6E4D" w:rsidP="007A1404">
            <w:pPr>
              <w:spacing w:line="360" w:lineRule="auto"/>
              <w:jc w:val="both"/>
              <w:rPr>
                <w:rFonts w:ascii="Garamond" w:hAnsi="Garamond"/>
                <w:b/>
                <w:sz w:val="20"/>
                <w:szCs w:val="20"/>
              </w:rPr>
            </w:pPr>
            <w:r w:rsidRPr="00930E9B">
              <w:rPr>
                <w:rFonts w:ascii="Garamond" w:hAnsi="Garamond"/>
                <w:b/>
                <w:sz w:val="20"/>
                <w:szCs w:val="20"/>
              </w:rPr>
              <w:t>DR Congo</w:t>
            </w:r>
          </w:p>
        </w:tc>
        <w:tc>
          <w:tcPr>
            <w:tcW w:w="860" w:type="dxa"/>
            <w:shd w:val="clear" w:color="auto" w:fill="auto"/>
          </w:tcPr>
          <w:p w:rsidR="00CF6E4D" w:rsidRPr="00930E9B" w:rsidRDefault="00CF6E4D" w:rsidP="007A1404">
            <w:pPr>
              <w:spacing w:line="360" w:lineRule="auto"/>
              <w:jc w:val="both"/>
              <w:rPr>
                <w:rFonts w:ascii="Garamond" w:hAnsi="Garamond"/>
                <w:b/>
                <w:sz w:val="20"/>
                <w:szCs w:val="20"/>
              </w:rPr>
            </w:pPr>
            <w:r w:rsidRPr="00930E9B">
              <w:rPr>
                <w:rFonts w:ascii="Garamond" w:hAnsi="Garamond"/>
                <w:b/>
                <w:sz w:val="20"/>
                <w:szCs w:val="20"/>
              </w:rPr>
              <w:t>Ghana</w:t>
            </w:r>
          </w:p>
        </w:tc>
        <w:tc>
          <w:tcPr>
            <w:tcW w:w="860" w:type="dxa"/>
            <w:shd w:val="clear" w:color="auto" w:fill="auto"/>
          </w:tcPr>
          <w:p w:rsidR="00CF6E4D" w:rsidRPr="00930E9B" w:rsidRDefault="00CF6E4D" w:rsidP="007A1404">
            <w:pPr>
              <w:spacing w:line="360" w:lineRule="auto"/>
              <w:jc w:val="both"/>
              <w:rPr>
                <w:rFonts w:ascii="Garamond" w:hAnsi="Garamond"/>
                <w:b/>
                <w:sz w:val="20"/>
                <w:szCs w:val="20"/>
              </w:rPr>
            </w:pPr>
            <w:r w:rsidRPr="00930E9B">
              <w:rPr>
                <w:rFonts w:ascii="Garamond" w:hAnsi="Garamond"/>
                <w:b/>
                <w:sz w:val="20"/>
                <w:szCs w:val="20"/>
              </w:rPr>
              <w:t xml:space="preserve">Kenya </w:t>
            </w:r>
          </w:p>
        </w:tc>
        <w:tc>
          <w:tcPr>
            <w:tcW w:w="950" w:type="dxa"/>
            <w:shd w:val="clear" w:color="auto" w:fill="auto"/>
          </w:tcPr>
          <w:p w:rsidR="00CF6E4D" w:rsidRPr="00930E9B" w:rsidRDefault="00CF6E4D" w:rsidP="007A1404">
            <w:pPr>
              <w:spacing w:line="360" w:lineRule="auto"/>
              <w:jc w:val="both"/>
              <w:rPr>
                <w:rFonts w:ascii="Garamond" w:hAnsi="Garamond"/>
                <w:b/>
                <w:sz w:val="20"/>
                <w:szCs w:val="20"/>
              </w:rPr>
            </w:pPr>
            <w:r w:rsidRPr="00930E9B">
              <w:rPr>
                <w:rFonts w:ascii="Garamond" w:hAnsi="Garamond"/>
                <w:b/>
                <w:sz w:val="20"/>
                <w:szCs w:val="20"/>
              </w:rPr>
              <w:t>Nigeria</w:t>
            </w:r>
          </w:p>
        </w:tc>
        <w:tc>
          <w:tcPr>
            <w:tcW w:w="860" w:type="dxa"/>
            <w:shd w:val="clear" w:color="auto" w:fill="auto"/>
          </w:tcPr>
          <w:p w:rsidR="00CF6E4D" w:rsidRPr="00930E9B" w:rsidRDefault="00CF6E4D" w:rsidP="007A1404">
            <w:pPr>
              <w:spacing w:line="360" w:lineRule="auto"/>
              <w:jc w:val="both"/>
              <w:rPr>
                <w:rFonts w:ascii="Garamond" w:hAnsi="Garamond"/>
                <w:b/>
                <w:sz w:val="20"/>
                <w:szCs w:val="20"/>
              </w:rPr>
            </w:pPr>
            <w:r w:rsidRPr="00930E9B">
              <w:rPr>
                <w:rFonts w:ascii="Garamond" w:hAnsi="Garamond"/>
                <w:b/>
                <w:sz w:val="20"/>
                <w:szCs w:val="20"/>
              </w:rPr>
              <w:t>South Africa</w:t>
            </w:r>
          </w:p>
        </w:tc>
        <w:tc>
          <w:tcPr>
            <w:tcW w:w="950" w:type="dxa"/>
            <w:shd w:val="clear" w:color="auto" w:fill="auto"/>
          </w:tcPr>
          <w:p w:rsidR="00CF6E4D" w:rsidRPr="00930E9B" w:rsidRDefault="00CF6E4D" w:rsidP="007A1404">
            <w:pPr>
              <w:spacing w:line="360" w:lineRule="auto"/>
              <w:jc w:val="both"/>
              <w:rPr>
                <w:rFonts w:ascii="Garamond" w:hAnsi="Garamond"/>
                <w:b/>
                <w:sz w:val="20"/>
                <w:szCs w:val="20"/>
              </w:rPr>
            </w:pPr>
            <w:r w:rsidRPr="00930E9B">
              <w:rPr>
                <w:rFonts w:ascii="Garamond" w:hAnsi="Garamond"/>
                <w:b/>
                <w:sz w:val="20"/>
                <w:szCs w:val="20"/>
              </w:rPr>
              <w:t>Uganda</w:t>
            </w:r>
          </w:p>
        </w:tc>
        <w:tc>
          <w:tcPr>
            <w:tcW w:w="1290" w:type="dxa"/>
            <w:shd w:val="clear" w:color="auto" w:fill="auto"/>
          </w:tcPr>
          <w:p w:rsidR="00CF6E4D" w:rsidRPr="00217328" w:rsidRDefault="00AE5951" w:rsidP="007A1404">
            <w:pPr>
              <w:spacing w:line="360" w:lineRule="auto"/>
              <w:jc w:val="both"/>
              <w:rPr>
                <w:rFonts w:ascii="Garamond" w:hAnsi="Garamond"/>
                <w:b/>
                <w:sz w:val="20"/>
                <w:szCs w:val="20"/>
              </w:rPr>
            </w:pPr>
            <w:r>
              <w:rPr>
                <w:rFonts w:ascii="Garamond" w:hAnsi="Garamond"/>
                <w:b/>
                <w:sz w:val="20"/>
                <w:szCs w:val="20"/>
              </w:rPr>
              <w:t>Zambia</w:t>
            </w:r>
          </w:p>
        </w:tc>
      </w:tr>
      <w:tr w:rsidR="00AE5951" w:rsidRPr="00217328" w:rsidTr="00D5359C">
        <w:trPr>
          <w:tblCellSpacing w:w="20" w:type="dxa"/>
        </w:trPr>
        <w:tc>
          <w:tcPr>
            <w:tcW w:w="967" w:type="dxa"/>
            <w:shd w:val="clear" w:color="auto" w:fill="auto"/>
          </w:tcPr>
          <w:p w:rsidR="00AE5951" w:rsidRPr="00217328" w:rsidRDefault="00AE5951" w:rsidP="007A1404">
            <w:pPr>
              <w:spacing w:line="360" w:lineRule="auto"/>
              <w:jc w:val="both"/>
              <w:rPr>
                <w:rFonts w:ascii="Garamond" w:hAnsi="Garamond"/>
                <w:sz w:val="20"/>
                <w:szCs w:val="20"/>
              </w:rPr>
            </w:pPr>
            <w:r>
              <w:rPr>
                <w:rFonts w:ascii="Garamond" w:hAnsi="Garamond"/>
                <w:sz w:val="20"/>
                <w:szCs w:val="20"/>
              </w:rPr>
              <w:t>1961-69</w:t>
            </w:r>
          </w:p>
        </w:tc>
        <w:tc>
          <w:tcPr>
            <w:tcW w:w="1301"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0.66</w:t>
            </w:r>
          </w:p>
        </w:tc>
        <w:tc>
          <w:tcPr>
            <w:tcW w:w="1130" w:type="dxa"/>
            <w:shd w:val="clear" w:color="auto" w:fill="auto"/>
            <w:vAlign w:val="bottom"/>
          </w:tcPr>
          <w:p w:rsidR="00AE5951" w:rsidRDefault="00AE5951" w:rsidP="007A1404">
            <w:pPr>
              <w:spacing w:line="360" w:lineRule="auto"/>
              <w:jc w:val="center"/>
              <w:rPr>
                <w:rFonts w:ascii="Garamond" w:hAnsi="Garamond"/>
                <w:color w:val="000000"/>
                <w:sz w:val="20"/>
                <w:szCs w:val="20"/>
              </w:rPr>
            </w:pPr>
            <w:r>
              <w:rPr>
                <w:rFonts w:ascii="Garamond" w:hAnsi="Garamond"/>
                <w:color w:val="000000"/>
                <w:sz w:val="20"/>
                <w:szCs w:val="20"/>
              </w:rPr>
              <w:t>NA</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4.34</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0.00</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0.00</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0.00</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0.00</w:t>
            </w:r>
          </w:p>
        </w:tc>
        <w:tc>
          <w:tcPr>
            <w:tcW w:w="129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0.00</w:t>
            </w:r>
          </w:p>
        </w:tc>
      </w:tr>
      <w:tr w:rsidR="00AE5951" w:rsidRPr="00217328" w:rsidTr="00D5359C">
        <w:trPr>
          <w:tblCellSpacing w:w="20" w:type="dxa"/>
        </w:trPr>
        <w:tc>
          <w:tcPr>
            <w:tcW w:w="967" w:type="dxa"/>
            <w:shd w:val="clear" w:color="auto" w:fill="auto"/>
          </w:tcPr>
          <w:p w:rsidR="00AE5951" w:rsidRPr="00217328" w:rsidRDefault="00AE5951" w:rsidP="007A1404">
            <w:pPr>
              <w:spacing w:line="360" w:lineRule="auto"/>
              <w:jc w:val="both"/>
              <w:rPr>
                <w:rFonts w:ascii="Garamond" w:hAnsi="Garamond"/>
                <w:sz w:val="20"/>
                <w:szCs w:val="20"/>
              </w:rPr>
            </w:pPr>
            <w:r w:rsidRPr="00217328">
              <w:rPr>
                <w:rFonts w:ascii="Garamond" w:hAnsi="Garamond"/>
                <w:sz w:val="20"/>
                <w:szCs w:val="20"/>
              </w:rPr>
              <w:t>1970-79</w:t>
            </w:r>
          </w:p>
        </w:tc>
        <w:tc>
          <w:tcPr>
            <w:tcW w:w="1301"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-1.66</w:t>
            </w:r>
          </w:p>
        </w:tc>
        <w:tc>
          <w:tcPr>
            <w:tcW w:w="1130" w:type="dxa"/>
            <w:shd w:val="clear" w:color="auto" w:fill="auto"/>
            <w:vAlign w:val="bottom"/>
          </w:tcPr>
          <w:p w:rsidR="00AE5951" w:rsidRDefault="00AE5951" w:rsidP="007A1404">
            <w:pPr>
              <w:spacing w:line="360" w:lineRule="auto"/>
              <w:jc w:val="center"/>
              <w:rPr>
                <w:rFonts w:ascii="Garamond" w:hAnsi="Garamond"/>
                <w:color w:val="000000"/>
                <w:sz w:val="20"/>
                <w:szCs w:val="20"/>
              </w:rPr>
            </w:pPr>
            <w:r>
              <w:rPr>
                <w:rFonts w:ascii="Garamond" w:hAnsi="Garamond"/>
                <w:color w:val="000000"/>
                <w:sz w:val="20"/>
                <w:szCs w:val="20"/>
              </w:rPr>
              <w:t>NA</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12.56</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0.58</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-1.61</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1.91</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0.56</w:t>
            </w:r>
          </w:p>
        </w:tc>
        <w:tc>
          <w:tcPr>
            <w:tcW w:w="129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1.20</w:t>
            </w:r>
          </w:p>
        </w:tc>
      </w:tr>
      <w:tr w:rsidR="00AE5951" w:rsidRPr="00217328" w:rsidTr="00D5359C">
        <w:trPr>
          <w:tblCellSpacing w:w="20" w:type="dxa"/>
        </w:trPr>
        <w:tc>
          <w:tcPr>
            <w:tcW w:w="967" w:type="dxa"/>
            <w:shd w:val="clear" w:color="auto" w:fill="auto"/>
          </w:tcPr>
          <w:p w:rsidR="00AE5951" w:rsidRPr="00217328" w:rsidRDefault="00AE5951" w:rsidP="007A1404">
            <w:pPr>
              <w:spacing w:line="360" w:lineRule="auto"/>
              <w:jc w:val="both"/>
              <w:rPr>
                <w:rFonts w:ascii="Garamond" w:hAnsi="Garamond"/>
                <w:sz w:val="20"/>
                <w:szCs w:val="20"/>
              </w:rPr>
            </w:pPr>
            <w:r w:rsidRPr="00217328">
              <w:rPr>
                <w:rFonts w:ascii="Garamond" w:hAnsi="Garamond"/>
                <w:sz w:val="20"/>
                <w:szCs w:val="20"/>
              </w:rPr>
              <w:t>1980-89</w:t>
            </w:r>
          </w:p>
        </w:tc>
        <w:tc>
          <w:tcPr>
            <w:tcW w:w="1301"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5.24</w:t>
            </w:r>
          </w:p>
        </w:tc>
        <w:tc>
          <w:tcPr>
            <w:tcW w:w="1130" w:type="dxa"/>
            <w:shd w:val="clear" w:color="auto" w:fill="auto"/>
            <w:vAlign w:val="bottom"/>
          </w:tcPr>
          <w:p w:rsidR="00AE5951" w:rsidRDefault="00AE5951" w:rsidP="007A1404">
            <w:pPr>
              <w:spacing w:line="360" w:lineRule="auto"/>
              <w:jc w:val="center"/>
              <w:rPr>
                <w:rFonts w:ascii="Garamond" w:hAnsi="Garamond"/>
                <w:color w:val="000000"/>
                <w:sz w:val="20"/>
                <w:szCs w:val="20"/>
              </w:rPr>
            </w:pPr>
            <w:r>
              <w:rPr>
                <w:rFonts w:ascii="Garamond" w:hAnsi="Garamond"/>
                <w:color w:val="000000"/>
                <w:sz w:val="20"/>
                <w:szCs w:val="20"/>
              </w:rPr>
              <w:t>NA</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78.12</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11.00</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34.30</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13.36</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151.83</w:t>
            </w:r>
          </w:p>
        </w:tc>
        <w:tc>
          <w:tcPr>
            <w:tcW w:w="129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39.34</w:t>
            </w:r>
          </w:p>
        </w:tc>
      </w:tr>
      <w:tr w:rsidR="00AE5951" w:rsidRPr="00217328" w:rsidTr="00D5359C">
        <w:trPr>
          <w:tblCellSpacing w:w="20" w:type="dxa"/>
        </w:trPr>
        <w:tc>
          <w:tcPr>
            <w:tcW w:w="967" w:type="dxa"/>
            <w:shd w:val="clear" w:color="auto" w:fill="auto"/>
          </w:tcPr>
          <w:p w:rsidR="00AE5951" w:rsidRPr="00217328" w:rsidRDefault="00AE5951" w:rsidP="007A1404">
            <w:pPr>
              <w:spacing w:line="360" w:lineRule="auto"/>
              <w:jc w:val="both"/>
              <w:rPr>
                <w:rFonts w:ascii="Garamond" w:hAnsi="Garamond"/>
                <w:sz w:val="20"/>
                <w:szCs w:val="20"/>
              </w:rPr>
            </w:pPr>
            <w:r w:rsidRPr="00217328">
              <w:rPr>
                <w:rFonts w:ascii="Garamond" w:hAnsi="Garamond"/>
                <w:sz w:val="20"/>
                <w:szCs w:val="20"/>
              </w:rPr>
              <w:t>1990-99</w:t>
            </w:r>
          </w:p>
        </w:tc>
        <w:tc>
          <w:tcPr>
            <w:tcW w:w="1301"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9.78</w:t>
            </w:r>
          </w:p>
        </w:tc>
        <w:tc>
          <w:tcPr>
            <w:tcW w:w="113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5608.89</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26.35</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15.01</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45.56</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9.02</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24.75</w:t>
            </w:r>
          </w:p>
        </w:tc>
        <w:tc>
          <w:tcPr>
            <w:tcW w:w="129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75.75</w:t>
            </w:r>
          </w:p>
        </w:tc>
      </w:tr>
      <w:tr w:rsidR="00AE5951" w:rsidRPr="00217328" w:rsidTr="00D5359C">
        <w:trPr>
          <w:tblCellSpacing w:w="20" w:type="dxa"/>
        </w:trPr>
        <w:tc>
          <w:tcPr>
            <w:tcW w:w="967" w:type="dxa"/>
            <w:shd w:val="clear" w:color="auto" w:fill="auto"/>
          </w:tcPr>
          <w:p w:rsidR="00AE5951" w:rsidRPr="00217328" w:rsidRDefault="00AE5951" w:rsidP="007A1404">
            <w:pPr>
              <w:spacing w:line="360" w:lineRule="auto"/>
              <w:jc w:val="both"/>
              <w:rPr>
                <w:rFonts w:ascii="Garamond" w:hAnsi="Garamond"/>
                <w:sz w:val="20"/>
                <w:szCs w:val="20"/>
              </w:rPr>
            </w:pPr>
            <w:r>
              <w:rPr>
                <w:rFonts w:ascii="Garamond" w:hAnsi="Garamond"/>
                <w:sz w:val="20"/>
                <w:szCs w:val="20"/>
              </w:rPr>
              <w:t>2000</w:t>
            </w:r>
          </w:p>
        </w:tc>
        <w:tc>
          <w:tcPr>
            <w:tcW w:w="1301"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15.64</w:t>
            </w:r>
          </w:p>
        </w:tc>
        <w:tc>
          <w:tcPr>
            <w:tcW w:w="113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442.97</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104.36</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8.32</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10.14</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13.59</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13.04</w:t>
            </w:r>
          </w:p>
        </w:tc>
        <w:tc>
          <w:tcPr>
            <w:tcW w:w="129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30.27</w:t>
            </w:r>
          </w:p>
        </w:tc>
      </w:tr>
      <w:tr w:rsidR="00AE5951" w:rsidRPr="00217328" w:rsidTr="00D5359C">
        <w:trPr>
          <w:tblCellSpacing w:w="20" w:type="dxa"/>
        </w:trPr>
        <w:tc>
          <w:tcPr>
            <w:tcW w:w="967" w:type="dxa"/>
            <w:shd w:val="clear" w:color="auto" w:fill="auto"/>
          </w:tcPr>
          <w:p w:rsidR="00AE5951" w:rsidRPr="00217328" w:rsidRDefault="00AE5951" w:rsidP="007A1404">
            <w:pPr>
              <w:spacing w:line="360" w:lineRule="auto"/>
              <w:jc w:val="both"/>
              <w:rPr>
                <w:rFonts w:ascii="Garamond" w:hAnsi="Garamond"/>
                <w:sz w:val="20"/>
                <w:szCs w:val="20"/>
              </w:rPr>
            </w:pPr>
            <w:r w:rsidRPr="00217328">
              <w:rPr>
                <w:rFonts w:ascii="Garamond" w:hAnsi="Garamond"/>
                <w:sz w:val="20"/>
                <w:szCs w:val="20"/>
              </w:rPr>
              <w:t>2001</w:t>
            </w:r>
          </w:p>
        </w:tc>
        <w:tc>
          <w:tcPr>
            <w:tcW w:w="1301"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2.96</w:t>
            </w:r>
          </w:p>
        </w:tc>
        <w:tc>
          <w:tcPr>
            <w:tcW w:w="113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846.99</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31.45</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3.13</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9.37</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24.05</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6.76</w:t>
            </w:r>
          </w:p>
        </w:tc>
        <w:tc>
          <w:tcPr>
            <w:tcW w:w="129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16.08</w:t>
            </w:r>
          </w:p>
        </w:tc>
      </w:tr>
      <w:tr w:rsidR="00AE5951" w:rsidRPr="00217328" w:rsidTr="00D5359C">
        <w:trPr>
          <w:tblCellSpacing w:w="20" w:type="dxa"/>
        </w:trPr>
        <w:tc>
          <w:tcPr>
            <w:tcW w:w="967" w:type="dxa"/>
            <w:shd w:val="clear" w:color="auto" w:fill="auto"/>
          </w:tcPr>
          <w:p w:rsidR="00AE5951" w:rsidRPr="00217328" w:rsidRDefault="00AE5951" w:rsidP="007A1404">
            <w:pPr>
              <w:spacing w:line="360" w:lineRule="auto"/>
              <w:jc w:val="both"/>
              <w:rPr>
                <w:rFonts w:ascii="Garamond" w:hAnsi="Garamond"/>
                <w:sz w:val="20"/>
                <w:szCs w:val="20"/>
              </w:rPr>
            </w:pPr>
            <w:r w:rsidRPr="00217328">
              <w:rPr>
                <w:rFonts w:ascii="Garamond" w:hAnsi="Garamond"/>
                <w:sz w:val="20"/>
                <w:szCs w:val="20"/>
              </w:rPr>
              <w:t>2002</w:t>
            </w:r>
          </w:p>
        </w:tc>
        <w:tc>
          <w:tcPr>
            <w:tcW w:w="1301"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-4.92</w:t>
            </w:r>
          </w:p>
        </w:tc>
        <w:tc>
          <w:tcPr>
            <w:tcW w:w="113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67.69</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10.63</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0.24</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8.40</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22.44</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2.39</w:t>
            </w:r>
          </w:p>
        </w:tc>
        <w:tc>
          <w:tcPr>
            <w:tcW w:w="129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21.81</w:t>
            </w:r>
          </w:p>
        </w:tc>
      </w:tr>
      <w:tr w:rsidR="00AE5951" w:rsidRPr="00217328" w:rsidTr="00D5359C">
        <w:trPr>
          <w:tblCellSpacing w:w="20" w:type="dxa"/>
        </w:trPr>
        <w:tc>
          <w:tcPr>
            <w:tcW w:w="967" w:type="dxa"/>
            <w:shd w:val="clear" w:color="auto" w:fill="auto"/>
          </w:tcPr>
          <w:p w:rsidR="00AE5951" w:rsidRPr="00217328" w:rsidRDefault="00AE5951" w:rsidP="007A1404">
            <w:pPr>
              <w:spacing w:line="360" w:lineRule="auto"/>
              <w:jc w:val="both"/>
              <w:rPr>
                <w:rFonts w:ascii="Garamond" w:hAnsi="Garamond"/>
                <w:sz w:val="20"/>
                <w:szCs w:val="20"/>
              </w:rPr>
            </w:pPr>
            <w:r w:rsidRPr="00217328">
              <w:rPr>
                <w:rFonts w:ascii="Garamond" w:hAnsi="Garamond"/>
                <w:sz w:val="20"/>
                <w:szCs w:val="20"/>
              </w:rPr>
              <w:t>2003</w:t>
            </w:r>
          </w:p>
        </w:tc>
        <w:tc>
          <w:tcPr>
            <w:tcW w:w="1301"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-16.61</w:t>
            </w:r>
          </w:p>
        </w:tc>
        <w:tc>
          <w:tcPr>
            <w:tcW w:w="113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16.93</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9.38</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-3.57</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7.17</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-28.23</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9.24</w:t>
            </w:r>
          </w:p>
        </w:tc>
        <w:tc>
          <w:tcPr>
            <w:tcW w:w="129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7.61</w:t>
            </w:r>
          </w:p>
        </w:tc>
      </w:tr>
      <w:tr w:rsidR="00AE5951" w:rsidRPr="00217328" w:rsidTr="00D5359C">
        <w:trPr>
          <w:tblCellSpacing w:w="20" w:type="dxa"/>
        </w:trPr>
        <w:tc>
          <w:tcPr>
            <w:tcW w:w="967" w:type="dxa"/>
            <w:shd w:val="clear" w:color="auto" w:fill="auto"/>
          </w:tcPr>
          <w:p w:rsidR="00AE5951" w:rsidRPr="00217328" w:rsidRDefault="00AE5951" w:rsidP="007A1404">
            <w:pPr>
              <w:spacing w:line="360" w:lineRule="auto"/>
              <w:jc w:val="both"/>
              <w:rPr>
                <w:rFonts w:ascii="Garamond" w:hAnsi="Garamond"/>
                <w:sz w:val="20"/>
                <w:szCs w:val="20"/>
              </w:rPr>
            </w:pPr>
            <w:r w:rsidRPr="00217328">
              <w:rPr>
                <w:rFonts w:ascii="Garamond" w:hAnsi="Garamond"/>
                <w:sz w:val="20"/>
                <w:szCs w:val="20"/>
              </w:rPr>
              <w:t>2004</w:t>
            </w:r>
          </w:p>
        </w:tc>
        <w:tc>
          <w:tcPr>
            <w:tcW w:w="1301"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-9.10</w:t>
            </w:r>
          </w:p>
        </w:tc>
        <w:tc>
          <w:tcPr>
            <w:tcW w:w="113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-1.46</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3.78</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4.26</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2.84</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-14.61</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-7.81</w:t>
            </w:r>
          </w:p>
        </w:tc>
        <w:tc>
          <w:tcPr>
            <w:tcW w:w="129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0.96</w:t>
            </w:r>
          </w:p>
        </w:tc>
      </w:tr>
      <w:tr w:rsidR="00AE5951" w:rsidRPr="00217328" w:rsidTr="00D5359C">
        <w:trPr>
          <w:tblCellSpacing w:w="20" w:type="dxa"/>
        </w:trPr>
        <w:tc>
          <w:tcPr>
            <w:tcW w:w="967" w:type="dxa"/>
            <w:shd w:val="clear" w:color="auto" w:fill="auto"/>
          </w:tcPr>
          <w:p w:rsidR="00AE5951" w:rsidRPr="00217328" w:rsidRDefault="00AE5951" w:rsidP="007A1404">
            <w:pPr>
              <w:spacing w:line="360" w:lineRule="auto"/>
              <w:jc w:val="both"/>
              <w:rPr>
                <w:rFonts w:ascii="Garamond" w:hAnsi="Garamond"/>
                <w:sz w:val="20"/>
                <w:szCs w:val="20"/>
              </w:rPr>
            </w:pPr>
            <w:r w:rsidRPr="00217328">
              <w:rPr>
                <w:rFonts w:ascii="Garamond" w:hAnsi="Garamond"/>
                <w:sz w:val="20"/>
                <w:szCs w:val="20"/>
              </w:rPr>
              <w:t>2005</w:t>
            </w:r>
          </w:p>
        </w:tc>
        <w:tc>
          <w:tcPr>
            <w:tcW w:w="1301"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-0.15</w:t>
            </w:r>
          </w:p>
        </w:tc>
        <w:tc>
          <w:tcPr>
            <w:tcW w:w="113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18.63</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0.75</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-4.57</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-1.21</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-1.55</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-1.64</w:t>
            </w:r>
          </w:p>
        </w:tc>
        <w:tc>
          <w:tcPr>
            <w:tcW w:w="129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-6.60</w:t>
            </w:r>
          </w:p>
        </w:tc>
      </w:tr>
      <w:tr w:rsidR="00AE5951" w:rsidRPr="00217328" w:rsidTr="00D5359C">
        <w:trPr>
          <w:tblCellSpacing w:w="20" w:type="dxa"/>
        </w:trPr>
        <w:tc>
          <w:tcPr>
            <w:tcW w:w="967" w:type="dxa"/>
            <w:shd w:val="clear" w:color="auto" w:fill="auto"/>
          </w:tcPr>
          <w:p w:rsidR="00AE5951" w:rsidRPr="00217328" w:rsidRDefault="00AE5951" w:rsidP="007A1404">
            <w:pPr>
              <w:spacing w:line="360" w:lineRule="auto"/>
              <w:jc w:val="both"/>
              <w:rPr>
                <w:rFonts w:ascii="Garamond" w:hAnsi="Garamond"/>
                <w:sz w:val="20"/>
                <w:szCs w:val="20"/>
              </w:rPr>
            </w:pPr>
            <w:r>
              <w:rPr>
                <w:rFonts w:ascii="Garamond" w:hAnsi="Garamond"/>
                <w:sz w:val="20"/>
                <w:szCs w:val="20"/>
              </w:rPr>
              <w:t>2006</w:t>
            </w:r>
          </w:p>
        </w:tc>
        <w:tc>
          <w:tcPr>
            <w:tcW w:w="1301"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-0.87</w:t>
            </w:r>
          </w:p>
        </w:tc>
        <w:tc>
          <w:tcPr>
            <w:tcW w:w="113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-1.19</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1.12</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-4.57</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-2.00</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6.48</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2.85</w:t>
            </w:r>
          </w:p>
        </w:tc>
        <w:tc>
          <w:tcPr>
            <w:tcW w:w="129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-19.28</w:t>
            </w:r>
          </w:p>
        </w:tc>
      </w:tr>
      <w:tr w:rsidR="00AE5951" w:rsidRPr="00217328" w:rsidTr="00D5359C">
        <w:trPr>
          <w:tblCellSpacing w:w="20" w:type="dxa"/>
        </w:trPr>
        <w:tc>
          <w:tcPr>
            <w:tcW w:w="967" w:type="dxa"/>
            <w:shd w:val="clear" w:color="auto" w:fill="auto"/>
          </w:tcPr>
          <w:p w:rsidR="00AE5951" w:rsidRPr="00217328" w:rsidRDefault="00AE5951" w:rsidP="007A1404">
            <w:pPr>
              <w:spacing w:line="360" w:lineRule="auto"/>
              <w:jc w:val="both"/>
              <w:rPr>
                <w:rFonts w:ascii="Garamond" w:hAnsi="Garamond"/>
                <w:sz w:val="20"/>
                <w:szCs w:val="20"/>
              </w:rPr>
            </w:pPr>
            <w:r>
              <w:rPr>
                <w:rFonts w:ascii="Garamond" w:hAnsi="Garamond"/>
                <w:sz w:val="20"/>
                <w:szCs w:val="20"/>
              </w:rPr>
              <w:t>2007</w:t>
            </w:r>
          </w:p>
        </w:tc>
        <w:tc>
          <w:tcPr>
            <w:tcW w:w="1301"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-8.34</w:t>
            </w:r>
          </w:p>
        </w:tc>
        <w:tc>
          <w:tcPr>
            <w:tcW w:w="113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10.35</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2.05</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-6.63</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-2.21</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4.04</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-5.89</w:t>
            </w:r>
          </w:p>
        </w:tc>
        <w:tc>
          <w:tcPr>
            <w:tcW w:w="129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11.09</w:t>
            </w:r>
          </w:p>
        </w:tc>
      </w:tr>
      <w:tr w:rsidR="00AE5951" w:rsidRPr="00217328" w:rsidTr="00D5359C">
        <w:trPr>
          <w:tblCellSpacing w:w="20" w:type="dxa"/>
        </w:trPr>
        <w:tc>
          <w:tcPr>
            <w:tcW w:w="967" w:type="dxa"/>
            <w:shd w:val="clear" w:color="auto" w:fill="auto"/>
          </w:tcPr>
          <w:p w:rsidR="00AE5951" w:rsidRPr="00217328" w:rsidRDefault="00AE5951" w:rsidP="007A1404">
            <w:pPr>
              <w:spacing w:line="360" w:lineRule="auto"/>
              <w:jc w:val="both"/>
              <w:rPr>
                <w:rFonts w:ascii="Garamond" w:hAnsi="Garamond"/>
                <w:sz w:val="20"/>
                <w:szCs w:val="20"/>
              </w:rPr>
            </w:pPr>
            <w:r>
              <w:rPr>
                <w:rFonts w:ascii="Garamond" w:hAnsi="Garamond"/>
                <w:sz w:val="20"/>
                <w:szCs w:val="20"/>
              </w:rPr>
              <w:t>2008</w:t>
            </w:r>
          </w:p>
        </w:tc>
        <w:tc>
          <w:tcPr>
            <w:tcW w:w="1301"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-6.56</w:t>
            </w:r>
          </w:p>
        </w:tc>
        <w:tc>
          <w:tcPr>
            <w:tcW w:w="113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8.23</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13.11</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2.76</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-5.77</w:t>
            </w:r>
          </w:p>
        </w:tc>
        <w:tc>
          <w:tcPr>
            <w:tcW w:w="86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17.26</w:t>
            </w:r>
          </w:p>
        </w:tc>
        <w:tc>
          <w:tcPr>
            <w:tcW w:w="95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-0.18</w:t>
            </w:r>
          </w:p>
        </w:tc>
        <w:tc>
          <w:tcPr>
            <w:tcW w:w="1290" w:type="dxa"/>
            <w:shd w:val="clear" w:color="auto" w:fill="auto"/>
            <w:vAlign w:val="bottom"/>
          </w:tcPr>
          <w:p w:rsidR="00AE5951" w:rsidRDefault="00AE5951" w:rsidP="007A1404">
            <w:pPr>
              <w:spacing w:line="360" w:lineRule="auto"/>
              <w:jc w:val="right"/>
              <w:rPr>
                <w:rFonts w:ascii="Garamond" w:hAnsi="Garamond"/>
                <w:color w:val="000000"/>
                <w:sz w:val="20"/>
                <w:szCs w:val="20"/>
              </w:rPr>
            </w:pPr>
            <w:r>
              <w:rPr>
                <w:rFonts w:ascii="Garamond" w:hAnsi="Garamond"/>
                <w:color w:val="000000"/>
                <w:sz w:val="20"/>
                <w:szCs w:val="20"/>
              </w:rPr>
              <w:t>-6.42</w:t>
            </w:r>
          </w:p>
        </w:tc>
      </w:tr>
    </w:tbl>
    <w:p w:rsidR="00CF6E4D" w:rsidRPr="00217328" w:rsidRDefault="00CF6E4D" w:rsidP="00432C32">
      <w:pPr>
        <w:spacing w:line="360" w:lineRule="auto"/>
        <w:jc w:val="both"/>
        <w:rPr>
          <w:rFonts w:ascii="Garamond" w:hAnsi="Garamond"/>
          <w:sz w:val="20"/>
          <w:szCs w:val="20"/>
        </w:rPr>
      </w:pPr>
      <w:r w:rsidRPr="00217328">
        <w:rPr>
          <w:rFonts w:ascii="Garamond" w:hAnsi="Garamond"/>
          <w:i/>
          <w:sz w:val="20"/>
          <w:szCs w:val="20"/>
        </w:rPr>
        <w:t>Source</w:t>
      </w:r>
      <w:r w:rsidRPr="00217328">
        <w:rPr>
          <w:rFonts w:ascii="Garamond" w:hAnsi="Garamond"/>
          <w:sz w:val="20"/>
          <w:szCs w:val="20"/>
        </w:rPr>
        <w:t xml:space="preserve">: </w:t>
      </w:r>
      <w:r w:rsidR="00406CAB" w:rsidRPr="00217328">
        <w:rPr>
          <w:rFonts w:ascii="Garamond" w:hAnsi="Garamond"/>
          <w:sz w:val="20"/>
          <w:szCs w:val="20"/>
        </w:rPr>
        <w:t xml:space="preserve">Own calculations based on </w:t>
      </w:r>
      <w:r w:rsidRPr="00217328">
        <w:rPr>
          <w:rFonts w:ascii="Garamond" w:hAnsi="Garamond"/>
          <w:sz w:val="20"/>
          <w:szCs w:val="20"/>
        </w:rPr>
        <w:t>the World Bank’s World Dev</w:t>
      </w:r>
      <w:r w:rsidR="00EA7AC8">
        <w:rPr>
          <w:rFonts w:ascii="Garamond" w:hAnsi="Garamond"/>
          <w:sz w:val="20"/>
          <w:szCs w:val="20"/>
        </w:rPr>
        <w:t>elopment Indicators Database</w:t>
      </w:r>
      <w:r w:rsidRPr="00217328">
        <w:rPr>
          <w:rFonts w:ascii="Garamond" w:hAnsi="Garamond"/>
          <w:sz w:val="20"/>
          <w:szCs w:val="20"/>
        </w:rPr>
        <w:t>.</w:t>
      </w:r>
    </w:p>
    <w:p w:rsidR="00CF6E4D" w:rsidRPr="00217328" w:rsidRDefault="00CF6E4D" w:rsidP="00432C32">
      <w:pPr>
        <w:spacing w:line="360" w:lineRule="auto"/>
        <w:jc w:val="both"/>
        <w:rPr>
          <w:rFonts w:ascii="Garamond" w:hAnsi="Garamond"/>
          <w:b/>
          <w:color w:val="292526"/>
        </w:rPr>
      </w:pPr>
    </w:p>
    <w:p w:rsidR="00AB6898" w:rsidRPr="00217328" w:rsidRDefault="00AB6898" w:rsidP="00432C32">
      <w:pPr>
        <w:spacing w:line="360" w:lineRule="auto"/>
        <w:jc w:val="both"/>
        <w:rPr>
          <w:rFonts w:ascii="Garamond" w:hAnsi="Garamond" w:cs="Arial"/>
          <w:b/>
          <w:color w:val="292526"/>
        </w:rPr>
      </w:pPr>
      <w:r w:rsidRPr="00217328">
        <w:rPr>
          <w:rFonts w:ascii="Garamond" w:hAnsi="Garamond" w:cs="Arial"/>
          <w:b/>
          <w:color w:val="292526"/>
        </w:rPr>
        <w:t>3. Literature Review</w:t>
      </w:r>
    </w:p>
    <w:p w:rsidR="00486469" w:rsidRPr="00217328" w:rsidRDefault="00486469" w:rsidP="00432C32">
      <w:pPr>
        <w:spacing w:line="360" w:lineRule="auto"/>
        <w:jc w:val="both"/>
        <w:rPr>
          <w:rFonts w:ascii="Garamond" w:eastAsia="PMingLiU" w:hAnsi="Garamond" w:cs="Arial"/>
          <w:b/>
        </w:rPr>
      </w:pPr>
      <w:r w:rsidRPr="00217328">
        <w:rPr>
          <w:rFonts w:ascii="Garamond" w:hAnsi="Garamond" w:cs="Arial"/>
        </w:rPr>
        <w:t>The earlier conclusion in the literature was that exchange rates have no effect on FDI flows (Gray, 1966; and</w:t>
      </w:r>
      <w:r w:rsidRPr="00217328">
        <w:rPr>
          <w:rFonts w:ascii="Garamond" w:hAnsi="Garamond" w:cs="Arial"/>
          <w:color w:val="FF0000"/>
        </w:rPr>
        <w:t xml:space="preserve"> </w:t>
      </w:r>
      <w:r w:rsidRPr="00217328">
        <w:rPr>
          <w:rFonts w:ascii="Garamond" w:hAnsi="Garamond" w:cs="Arial"/>
        </w:rPr>
        <w:t xml:space="preserve">Wallich, 1973). The models of determinants of FDI developed during </w:t>
      </w:r>
      <w:r w:rsidR="000F5AF6" w:rsidRPr="00217328">
        <w:rPr>
          <w:rFonts w:ascii="Garamond" w:hAnsi="Garamond" w:cs="Arial"/>
        </w:rPr>
        <w:t>the 1960s and 1970s</w:t>
      </w:r>
      <w:r w:rsidRPr="00217328">
        <w:rPr>
          <w:rFonts w:ascii="Garamond" w:hAnsi="Garamond" w:cs="Arial"/>
        </w:rPr>
        <w:t xml:space="preserve"> treated exchange rate and ERV as exogenous. This view persisted for a long time until the 1970s. Houthakker (1962) was the first to predict a possible positive effect of exchange rate on FDI, albeit this was not based on theory or empirical evidence. This </w:t>
      </w:r>
      <w:r w:rsidR="0032263B" w:rsidRPr="00217328">
        <w:rPr>
          <w:rFonts w:ascii="Garamond" w:hAnsi="Garamond" w:cs="Arial"/>
        </w:rPr>
        <w:t>view</w:t>
      </w:r>
      <w:r w:rsidRPr="00217328">
        <w:rPr>
          <w:rFonts w:ascii="Garamond" w:hAnsi="Garamond" w:cs="Arial"/>
        </w:rPr>
        <w:t xml:space="preserve"> was </w:t>
      </w:r>
      <w:r w:rsidR="0032263B" w:rsidRPr="00217328">
        <w:rPr>
          <w:rFonts w:ascii="Garamond" w:hAnsi="Garamond" w:cs="Arial"/>
        </w:rPr>
        <w:t>also</w:t>
      </w:r>
      <w:r w:rsidRPr="00217328">
        <w:rPr>
          <w:rFonts w:ascii="Garamond" w:hAnsi="Garamond" w:cs="Arial"/>
        </w:rPr>
        <w:t xml:space="preserve"> expressed in international business literature by Dufey (1972)</w:t>
      </w:r>
      <w:r w:rsidRPr="00217328">
        <w:rPr>
          <w:rFonts w:ascii="Garamond" w:hAnsi="Garamond" w:cs="Arial"/>
          <w:color w:val="FF0000"/>
        </w:rPr>
        <w:t xml:space="preserve"> </w:t>
      </w:r>
      <w:r w:rsidRPr="00217328">
        <w:rPr>
          <w:rFonts w:ascii="Garamond" w:hAnsi="Garamond" w:cs="Arial"/>
        </w:rPr>
        <w:t xml:space="preserve">who observed that devaluation by the </w:t>
      </w:r>
      <w:r w:rsidRPr="00217328">
        <w:rPr>
          <w:rFonts w:ascii="Garamond" w:hAnsi="Garamond" w:cs="Arial"/>
          <w:i/>
        </w:rPr>
        <w:t>source</w:t>
      </w:r>
      <w:r w:rsidRPr="00217328">
        <w:rPr>
          <w:rFonts w:ascii="Garamond" w:hAnsi="Garamond" w:cs="Arial"/>
        </w:rPr>
        <w:t xml:space="preserve"> country will make foreign investment less attractive, while devaluation by the </w:t>
      </w:r>
      <w:r w:rsidRPr="00217328">
        <w:rPr>
          <w:rFonts w:ascii="Garamond" w:hAnsi="Garamond" w:cs="Arial"/>
          <w:i/>
        </w:rPr>
        <w:t>host</w:t>
      </w:r>
      <w:r w:rsidRPr="00217328">
        <w:rPr>
          <w:rFonts w:ascii="Garamond" w:hAnsi="Garamond" w:cs="Arial"/>
        </w:rPr>
        <w:t xml:space="preserve"> country will make the expansion of already existing foreign subsidiaries more profitable. Several studies have explored the impact of exchange rate depreciation and appreciation on FDI with the general conclusion that devaluation attracts FDI while depreciation retards it. Given the orientation of this paper, we shall concentrate only on the literature exploring the relationship between ERV and FDI.        </w:t>
      </w:r>
    </w:p>
    <w:p w:rsidR="00AF4C22" w:rsidRDefault="00AF4C22" w:rsidP="00432C32">
      <w:pPr>
        <w:autoSpaceDE w:val="0"/>
        <w:autoSpaceDN w:val="0"/>
        <w:adjustRightInd w:val="0"/>
        <w:spacing w:line="360" w:lineRule="auto"/>
        <w:ind w:hanging="540"/>
        <w:jc w:val="both"/>
        <w:rPr>
          <w:rFonts w:ascii="Garamond" w:hAnsi="Garamond" w:cs="Arial"/>
        </w:rPr>
      </w:pPr>
      <w:r>
        <w:rPr>
          <w:rFonts w:ascii="Garamond" w:hAnsi="Garamond" w:cs="Arial"/>
        </w:rPr>
        <w:tab/>
      </w:r>
    </w:p>
    <w:p w:rsidR="00486469" w:rsidRPr="00217328" w:rsidRDefault="00AF4C22" w:rsidP="00432C32">
      <w:pPr>
        <w:autoSpaceDE w:val="0"/>
        <w:autoSpaceDN w:val="0"/>
        <w:adjustRightInd w:val="0"/>
        <w:spacing w:line="360" w:lineRule="auto"/>
        <w:ind w:hanging="540"/>
        <w:jc w:val="both"/>
        <w:rPr>
          <w:rFonts w:ascii="Garamond" w:hAnsi="Garamond" w:cs="Arial"/>
        </w:rPr>
      </w:pPr>
      <w:r>
        <w:rPr>
          <w:rFonts w:ascii="Garamond" w:hAnsi="Garamond" w:cs="Arial"/>
        </w:rPr>
        <w:lastRenderedPageBreak/>
        <w:tab/>
      </w:r>
      <w:r w:rsidR="00486469" w:rsidRPr="00217328">
        <w:rPr>
          <w:rFonts w:ascii="Garamond" w:hAnsi="Garamond" w:cs="Arial"/>
        </w:rPr>
        <w:t xml:space="preserve">The collapse of the Bretton Woods system of exchange rate which precipitated wide volatility in exchange rates led to several investigations into the relationship between exchange rate and FDI beyond the level of exchange rate. This development engendered research interests about the probable relationship because of the risk associated with volatility. A number of authoritative studies have been conducted to ascertain the extent to which exchange rate volatility affect FDI. It </w:t>
      </w:r>
      <w:r w:rsidR="00AC28E1" w:rsidRPr="00217328">
        <w:rPr>
          <w:rFonts w:ascii="Garamond" w:hAnsi="Garamond" w:cs="Arial"/>
        </w:rPr>
        <w:t xml:space="preserve">is </w:t>
      </w:r>
      <w:r w:rsidR="00486469" w:rsidRPr="00217328">
        <w:rPr>
          <w:rFonts w:ascii="Garamond" w:hAnsi="Garamond" w:cs="Arial"/>
        </w:rPr>
        <w:t xml:space="preserve">noteworthy that the theoretical arguments linking volatility and FDI are divided between production flexibility arguments and risk aversion arguments. According to production flexibility arguments, exchange rate volatility increases foreign investment because firms can adjust the use of one of their variable factors following the realization of nominal or real shocks. It is obvious that the production flexibility argument relies on the assumption that firms can adjust variable factors, because the assertion would not hold if factors were fixed. On the other hand, the risk aversion theory is based on the proposition that higher ERV increases the variance of profits, thereby lowering its certainty equivalent since investors are generally risk averse. </w:t>
      </w:r>
    </w:p>
    <w:p w:rsidR="00EA7AC8"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p>
    <w:p w:rsidR="00486469" w:rsidRPr="00217328" w:rsidRDefault="00EA7AC8" w:rsidP="00432C32">
      <w:pPr>
        <w:autoSpaceDE w:val="0"/>
        <w:autoSpaceDN w:val="0"/>
        <w:adjustRightInd w:val="0"/>
        <w:spacing w:line="360" w:lineRule="auto"/>
        <w:ind w:hanging="540"/>
        <w:jc w:val="both"/>
        <w:rPr>
          <w:rFonts w:ascii="Garamond" w:hAnsi="Garamond" w:cs="Arial"/>
        </w:rPr>
      </w:pPr>
      <w:r>
        <w:rPr>
          <w:rFonts w:ascii="Garamond" w:hAnsi="Garamond" w:cs="Arial"/>
        </w:rPr>
        <w:t xml:space="preserve">        </w:t>
      </w:r>
      <w:r w:rsidR="00486469" w:rsidRPr="00217328">
        <w:rPr>
          <w:rFonts w:ascii="Garamond" w:hAnsi="Garamond" w:cs="Arial"/>
        </w:rPr>
        <w:t>One of the oldest tests of the effects of ERV on FDI is</w:t>
      </w:r>
      <w:r w:rsidR="000F5AF6" w:rsidRPr="00217328">
        <w:rPr>
          <w:rFonts w:ascii="Garamond" w:hAnsi="Garamond" w:cs="Arial"/>
        </w:rPr>
        <w:t xml:space="preserve"> contained in Itagaki (1981) who</w:t>
      </w:r>
      <w:r w:rsidR="00486469" w:rsidRPr="00217328">
        <w:rPr>
          <w:rFonts w:ascii="Garamond" w:hAnsi="Garamond" w:cs="Arial"/>
        </w:rPr>
        <w:t xml:space="preserve"> developed a financial flexibility argument for the ERV-FDI nexus. It is affirmed that an increase in exchange rate risk may incite a firm to invest abroad as a way of hedging against a short-term disequilibrium in its balance sheet.</w:t>
      </w:r>
    </w:p>
    <w:p w:rsidR="00634889"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 xml:space="preserve">         </w:t>
      </w:r>
    </w:p>
    <w:p w:rsidR="00486469" w:rsidRPr="00217328"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r w:rsidR="00486469" w:rsidRPr="00217328">
        <w:rPr>
          <w:rFonts w:ascii="Garamond" w:hAnsi="Garamond" w:cs="Arial"/>
        </w:rPr>
        <w:t xml:space="preserve">Towing a similar line, Cushman (1985) analysed the effects of real ERV and expectations on FDI in the context of  a two-period dynamic model for four different cases depending on where inputs were purchased, output produced, financial capital acquired, and output sold. Quantitative evidence showed that an increase in exchange rate volatility brings about a depreciation of the risk adjusted real exchange rate and thus lowers the costs of domestic </w:t>
      </w:r>
      <w:r w:rsidR="00486469" w:rsidRPr="00217328">
        <w:rPr>
          <w:rFonts w:ascii="Garamond" w:hAnsi="Garamond" w:cs="Arial"/>
          <w:i/>
        </w:rPr>
        <w:t>vis-à-vis</w:t>
      </w:r>
      <w:r w:rsidR="00486469" w:rsidRPr="00217328">
        <w:rPr>
          <w:rFonts w:ascii="Garamond" w:hAnsi="Garamond" w:cs="Arial"/>
        </w:rPr>
        <w:t xml:space="preserve"> foreign financing of foreign capital which translates into an increase in FDI. Positive effects of exchange rate volatility on annual bilateral FDI flows from the US to the UK, France, Germany, Canada and Japan for the years 1963 through 1978 were reported. Employing alternative measures of volatility led to a conclusion that the effect of exchange rate volatility is consistently positive for all specifications. However, this effect is insignificant when contemporaneous error correlation is assumed, thus suggesting that Cushman’s results only give a weak support to the hypothesis of a positive link between FDI and exchange rate volatility.</w:t>
      </w:r>
    </w:p>
    <w:p w:rsidR="00634889" w:rsidRDefault="00634889" w:rsidP="00432C32">
      <w:pPr>
        <w:autoSpaceDE w:val="0"/>
        <w:autoSpaceDN w:val="0"/>
        <w:adjustRightInd w:val="0"/>
        <w:spacing w:line="360" w:lineRule="auto"/>
        <w:ind w:hanging="540"/>
        <w:jc w:val="both"/>
        <w:outlineLvl w:val="0"/>
        <w:rPr>
          <w:rFonts w:ascii="Garamond" w:hAnsi="Garamond" w:cs="Arial"/>
        </w:rPr>
      </w:pPr>
      <w:r>
        <w:rPr>
          <w:rFonts w:ascii="Garamond" w:hAnsi="Garamond" w:cs="Arial"/>
        </w:rPr>
        <w:tab/>
      </w:r>
    </w:p>
    <w:p w:rsidR="00486469" w:rsidRPr="00217328" w:rsidRDefault="00634889" w:rsidP="00432C32">
      <w:pPr>
        <w:autoSpaceDE w:val="0"/>
        <w:autoSpaceDN w:val="0"/>
        <w:adjustRightInd w:val="0"/>
        <w:spacing w:line="360" w:lineRule="auto"/>
        <w:ind w:hanging="540"/>
        <w:jc w:val="both"/>
        <w:outlineLvl w:val="0"/>
        <w:rPr>
          <w:rFonts w:ascii="Garamond" w:hAnsi="Garamond" w:cs="Arial"/>
        </w:rPr>
      </w:pPr>
      <w:r>
        <w:rPr>
          <w:rFonts w:ascii="Garamond" w:hAnsi="Garamond" w:cs="Arial"/>
        </w:rPr>
        <w:lastRenderedPageBreak/>
        <w:tab/>
      </w:r>
      <w:r w:rsidR="00486469" w:rsidRPr="00217328">
        <w:rPr>
          <w:rFonts w:ascii="Garamond" w:hAnsi="Garamond" w:cs="Arial"/>
        </w:rPr>
        <w:t>Other theoretical works proposing that exchange rate variations could promote FDI are Goldberg and Kolstad (1995), Cushman (1985) and Cushman (1988). Goldberg and Kolstad (1995) argued that exchange rate volatility unambiguously stimulates the share of FDI. Employing quarterly data, they found positive effects of exchange rate volatility on bilateral investment flows between the U.S., on the one hand, and the U.K., Canada and Japan, on the other, for 1978-1991. They concluded that exchange rate volatility had a positive and statistically significant effect on four of the six bilateral FDI shares; it increased the share of total United Sates investment in Canada and Japan, and expanded the share of Canadian and the UK investment in the US.</w:t>
      </w:r>
    </w:p>
    <w:p w:rsidR="00634889" w:rsidRDefault="00634889" w:rsidP="00432C32">
      <w:pPr>
        <w:autoSpaceDE w:val="0"/>
        <w:autoSpaceDN w:val="0"/>
        <w:adjustRightInd w:val="0"/>
        <w:spacing w:line="360" w:lineRule="auto"/>
        <w:ind w:hanging="540"/>
        <w:jc w:val="both"/>
        <w:outlineLvl w:val="0"/>
        <w:rPr>
          <w:rFonts w:ascii="Garamond" w:hAnsi="Garamond" w:cs="Arial"/>
        </w:rPr>
      </w:pPr>
      <w:r>
        <w:rPr>
          <w:rFonts w:ascii="Garamond" w:hAnsi="Garamond" w:cs="Arial"/>
        </w:rPr>
        <w:tab/>
      </w:r>
    </w:p>
    <w:p w:rsidR="00486469" w:rsidRPr="00217328" w:rsidRDefault="00634889" w:rsidP="00432C32">
      <w:pPr>
        <w:autoSpaceDE w:val="0"/>
        <w:autoSpaceDN w:val="0"/>
        <w:adjustRightInd w:val="0"/>
        <w:spacing w:line="360" w:lineRule="auto"/>
        <w:ind w:hanging="540"/>
        <w:jc w:val="both"/>
        <w:outlineLvl w:val="0"/>
        <w:rPr>
          <w:rFonts w:ascii="Garamond" w:hAnsi="Garamond" w:cs="Arial"/>
        </w:rPr>
      </w:pPr>
      <w:r>
        <w:rPr>
          <w:rFonts w:ascii="Garamond" w:hAnsi="Garamond" w:cs="Arial"/>
        </w:rPr>
        <w:tab/>
      </w:r>
      <w:r w:rsidR="00486469" w:rsidRPr="00217328">
        <w:rPr>
          <w:rFonts w:ascii="Garamond" w:hAnsi="Garamond" w:cs="Arial"/>
        </w:rPr>
        <w:t>Contrary to the studies highlighted above, there are theoretical and empirical models predicting th</w:t>
      </w:r>
      <w:r w:rsidR="000F5AF6" w:rsidRPr="00217328">
        <w:rPr>
          <w:rFonts w:ascii="Garamond" w:hAnsi="Garamond" w:cs="Arial"/>
        </w:rPr>
        <w:t>at exchange rate volatility would</w:t>
      </w:r>
      <w:r w:rsidR="00486469" w:rsidRPr="00217328">
        <w:rPr>
          <w:rFonts w:ascii="Garamond" w:hAnsi="Garamond" w:cs="Arial"/>
        </w:rPr>
        <w:t xml:space="preserve"> instead suppress FDI. These arguments are predicated on the assumption that unpredictable fluctuations in the exchange rate introduce added uncertainty into both the production costs and future revenues of foreign operations, thus discouraging potential investors. Dixit and Pindyck (1994) and Pindyck (1998), for instance, opined that currency volatility discourages the entry of MNCs by increasing the “option value” associated with waiting before incurring the sunk costs (a fixed cost paid in advance) necessary to produce overseas. ERV introduces uncertainty about the size of profits, increasing the value of holding on to the option to wait and motivating the firm to postpone inv</w:t>
      </w:r>
      <w:r w:rsidR="006C2214" w:rsidRPr="00217328">
        <w:rPr>
          <w:rFonts w:ascii="Garamond" w:hAnsi="Garamond" w:cs="Arial"/>
        </w:rPr>
        <w:t xml:space="preserve">estment until a future period. </w:t>
      </w:r>
      <w:r w:rsidR="00486469" w:rsidRPr="00217328">
        <w:rPr>
          <w:rFonts w:ascii="Garamond" w:hAnsi="Garamond" w:cs="Arial"/>
        </w:rPr>
        <w:t>On methodology, two significant studies that have employed a general equilibrium approach in mode</w:t>
      </w:r>
      <w:r w:rsidR="00FF7A40">
        <w:rPr>
          <w:rFonts w:ascii="Garamond" w:hAnsi="Garamond" w:cs="Arial"/>
        </w:rPr>
        <w:t>l</w:t>
      </w:r>
      <w:r w:rsidR="00486469" w:rsidRPr="00217328">
        <w:rPr>
          <w:rFonts w:ascii="Garamond" w:hAnsi="Garamond" w:cs="Arial"/>
        </w:rPr>
        <w:t xml:space="preserve">ling the effects of ERV on FDI are Aizenman (1992) and Devereux and Engel (2001). They examined MNCs within a general equilibrium approach where ERV is endogenous. However, their results are conflicting. Aizenman (1992) employed </w:t>
      </w:r>
      <w:r w:rsidR="000F5AF6" w:rsidRPr="00217328">
        <w:rPr>
          <w:rFonts w:ascii="Garamond" w:hAnsi="Garamond" w:cs="Arial"/>
        </w:rPr>
        <w:t>a</w:t>
      </w:r>
      <w:r w:rsidR="00486469" w:rsidRPr="00217328">
        <w:rPr>
          <w:rFonts w:ascii="Garamond" w:hAnsi="Garamond" w:cs="Arial"/>
        </w:rPr>
        <w:t xml:space="preserve"> production flexibility approach of the option value and found that wider volatility increases diversification as this pushes firms to shift production to the country where it is cheapest. However, by increasing the uncertainty surrounding the return on exercising the Dixit-Pindyck option to invest abroad, this also discourages investment. In this sense, ERV associated with a flexible regime can be construed as deterring FDI. </w:t>
      </w:r>
    </w:p>
    <w:p w:rsidR="00634889" w:rsidRDefault="00634889" w:rsidP="00432C32">
      <w:pPr>
        <w:autoSpaceDE w:val="0"/>
        <w:autoSpaceDN w:val="0"/>
        <w:adjustRightInd w:val="0"/>
        <w:spacing w:line="360" w:lineRule="auto"/>
        <w:ind w:hanging="540"/>
        <w:jc w:val="both"/>
        <w:outlineLvl w:val="0"/>
        <w:rPr>
          <w:rFonts w:ascii="Garamond" w:hAnsi="Garamond" w:cs="Arial"/>
        </w:rPr>
      </w:pPr>
      <w:r>
        <w:rPr>
          <w:rFonts w:ascii="Garamond" w:hAnsi="Garamond" w:cs="Arial"/>
        </w:rPr>
        <w:tab/>
      </w:r>
    </w:p>
    <w:p w:rsidR="00486469" w:rsidRPr="00217328" w:rsidRDefault="00634889" w:rsidP="00432C32">
      <w:pPr>
        <w:autoSpaceDE w:val="0"/>
        <w:autoSpaceDN w:val="0"/>
        <w:adjustRightInd w:val="0"/>
        <w:spacing w:line="360" w:lineRule="auto"/>
        <w:ind w:hanging="540"/>
        <w:jc w:val="both"/>
        <w:outlineLvl w:val="0"/>
        <w:rPr>
          <w:rFonts w:ascii="Garamond" w:hAnsi="Garamond" w:cs="Arial"/>
        </w:rPr>
      </w:pPr>
      <w:r>
        <w:rPr>
          <w:rFonts w:ascii="Garamond" w:hAnsi="Garamond" w:cs="Arial"/>
        </w:rPr>
        <w:tab/>
      </w:r>
      <w:r w:rsidR="00486469" w:rsidRPr="00217328">
        <w:rPr>
          <w:rFonts w:ascii="Garamond" w:hAnsi="Garamond" w:cs="Arial"/>
        </w:rPr>
        <w:t xml:space="preserve">However, in contrast to the findings of Cushman (1985), Sercu and Vanhulle (1992) showed that increased ERV raises the returns to exports thereby reducing levels of foreign investment. The </w:t>
      </w:r>
      <w:r w:rsidR="00487D97" w:rsidRPr="00217328">
        <w:rPr>
          <w:rFonts w:ascii="Garamond" w:hAnsi="Garamond" w:cs="Arial"/>
        </w:rPr>
        <w:t>intuition</w:t>
      </w:r>
      <w:r w:rsidR="00486469" w:rsidRPr="00217328">
        <w:rPr>
          <w:rFonts w:ascii="Garamond" w:hAnsi="Garamond" w:cs="Arial"/>
        </w:rPr>
        <w:t xml:space="preserve"> </w:t>
      </w:r>
      <w:r w:rsidR="00487D97" w:rsidRPr="00217328">
        <w:rPr>
          <w:rFonts w:ascii="Garamond" w:hAnsi="Garamond" w:cs="Arial"/>
        </w:rPr>
        <w:t>behin</w:t>
      </w:r>
      <w:r w:rsidR="0001695B">
        <w:rPr>
          <w:rFonts w:ascii="Garamond" w:hAnsi="Garamond" w:cs="Arial"/>
        </w:rPr>
        <w:t>d</w:t>
      </w:r>
      <w:r w:rsidR="00486469" w:rsidRPr="00217328">
        <w:rPr>
          <w:rFonts w:ascii="Garamond" w:hAnsi="Garamond" w:cs="Arial"/>
        </w:rPr>
        <w:t xml:space="preserve"> this is that </w:t>
      </w:r>
      <w:r w:rsidR="00471CC9" w:rsidRPr="00217328">
        <w:rPr>
          <w:rFonts w:ascii="Garamond" w:hAnsi="Garamond" w:cs="Arial"/>
        </w:rPr>
        <w:t xml:space="preserve">exports and FDI are assumed to be substitutes. In addition, </w:t>
      </w:r>
      <w:r w:rsidR="00486469" w:rsidRPr="00217328">
        <w:rPr>
          <w:rFonts w:ascii="Garamond" w:hAnsi="Garamond" w:cs="Arial"/>
        </w:rPr>
        <w:t xml:space="preserve">when firms are not faced with a choice between exporting and FDI, the effect of </w:t>
      </w:r>
      <w:r w:rsidR="00931285" w:rsidRPr="00217328">
        <w:rPr>
          <w:rFonts w:ascii="Garamond" w:hAnsi="Garamond" w:cs="Arial"/>
        </w:rPr>
        <w:t>ERV</w:t>
      </w:r>
      <w:r w:rsidR="00486469" w:rsidRPr="00217328">
        <w:rPr>
          <w:rFonts w:ascii="Garamond" w:hAnsi="Garamond" w:cs="Arial"/>
        </w:rPr>
        <w:t xml:space="preserve"> on FDI </w:t>
      </w:r>
      <w:r w:rsidR="00931285" w:rsidRPr="00217328">
        <w:rPr>
          <w:rFonts w:ascii="Garamond" w:hAnsi="Garamond" w:cs="Arial"/>
        </w:rPr>
        <w:t xml:space="preserve">tend to </w:t>
      </w:r>
      <w:r w:rsidR="00486469" w:rsidRPr="00217328">
        <w:rPr>
          <w:rFonts w:ascii="Garamond" w:hAnsi="Garamond" w:cs="Arial"/>
        </w:rPr>
        <w:t xml:space="preserve">change. Comparatively, Devereux and Engel (2001) found that when a </w:t>
      </w:r>
      <w:r w:rsidR="00486469" w:rsidRPr="00217328">
        <w:rPr>
          <w:rFonts w:ascii="Garamond" w:hAnsi="Garamond" w:cs="Arial"/>
        </w:rPr>
        <w:lastRenderedPageBreak/>
        <w:t>firm’s price is given in the currency of the local market it is serving (pricing to market), production by all firms, including the affiliates of MNCs is higher under a flexible exchange rate than a fixed exchange rate. Therefore, exchange-rate volatility associated with a flexible regime is loosely linked with increased production by MNCs.</w:t>
      </w:r>
    </w:p>
    <w:p w:rsidR="00634889"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p>
    <w:p w:rsidR="00486469" w:rsidRPr="00217328"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r w:rsidR="00486469" w:rsidRPr="00217328">
        <w:rPr>
          <w:rFonts w:ascii="Garamond" w:hAnsi="Garamond" w:cs="Arial"/>
        </w:rPr>
        <w:t>The contention that firms do use certainty equivalent levels in the expected profit functions to make investment decisions was extended by Campa (1993) to include risk-neutral firms by using the argument of future expected profits. The idea here is that investors are concerned about future expected profits and because of exchange rate volatility, firms may temporarily postpone the decision to invest abroad, as they would prefer to invest in a country where expected profits are less volatile due to stable exchange rates. The theoretical results were further established by using data for FDI inflows to the US in the wholesale industries in the 1980s. Using micro-level data, Campa (1993) showed that volatility deters entry by foreign firms co</w:t>
      </w:r>
      <w:r w:rsidR="00487D97" w:rsidRPr="00217328">
        <w:rPr>
          <w:rFonts w:ascii="Garamond" w:hAnsi="Garamond" w:cs="Arial"/>
        </w:rPr>
        <w:t>ntemplating investment in the US.</w:t>
      </w:r>
      <w:r w:rsidR="00486469" w:rsidRPr="00217328">
        <w:rPr>
          <w:rFonts w:ascii="Garamond" w:hAnsi="Garamond" w:cs="Arial"/>
        </w:rPr>
        <w:t xml:space="preserve"> </w:t>
      </w:r>
      <w:r w:rsidR="00487D97" w:rsidRPr="00217328">
        <w:rPr>
          <w:rFonts w:ascii="Garamond" w:hAnsi="Garamond" w:cs="Arial"/>
        </w:rPr>
        <w:t>E</w:t>
      </w:r>
      <w:r w:rsidR="00486469" w:rsidRPr="00217328">
        <w:rPr>
          <w:rFonts w:ascii="Garamond" w:hAnsi="Garamond" w:cs="Arial"/>
        </w:rPr>
        <w:t xml:space="preserve">xplaining this further, Campa </w:t>
      </w:r>
      <w:r w:rsidR="00487D97" w:rsidRPr="00217328">
        <w:rPr>
          <w:rFonts w:ascii="Garamond" w:hAnsi="Garamond" w:cs="Arial"/>
        </w:rPr>
        <w:t>expressed</w:t>
      </w:r>
      <w:r w:rsidR="00486469" w:rsidRPr="00217328">
        <w:rPr>
          <w:rFonts w:ascii="Garamond" w:hAnsi="Garamond" w:cs="Arial"/>
        </w:rPr>
        <w:t xml:space="preserve"> that in any period when conditions were favorable, “volatility would have no effect on the entry decision” (p.619). </w:t>
      </w:r>
    </w:p>
    <w:p w:rsidR="00634889" w:rsidRDefault="00634889" w:rsidP="00432C32">
      <w:pPr>
        <w:autoSpaceDE w:val="0"/>
        <w:autoSpaceDN w:val="0"/>
        <w:adjustRightInd w:val="0"/>
        <w:spacing w:line="360" w:lineRule="auto"/>
        <w:ind w:hanging="540"/>
        <w:jc w:val="both"/>
        <w:outlineLvl w:val="0"/>
        <w:rPr>
          <w:rFonts w:ascii="Garamond" w:hAnsi="Garamond" w:cs="Arial"/>
        </w:rPr>
      </w:pPr>
      <w:r>
        <w:rPr>
          <w:rFonts w:ascii="Garamond" w:hAnsi="Garamond" w:cs="Arial"/>
        </w:rPr>
        <w:tab/>
      </w:r>
    </w:p>
    <w:p w:rsidR="00486469" w:rsidRPr="00217328" w:rsidRDefault="00634889" w:rsidP="00432C32">
      <w:pPr>
        <w:autoSpaceDE w:val="0"/>
        <w:autoSpaceDN w:val="0"/>
        <w:adjustRightInd w:val="0"/>
        <w:spacing w:line="360" w:lineRule="auto"/>
        <w:ind w:hanging="540"/>
        <w:jc w:val="both"/>
        <w:outlineLvl w:val="0"/>
        <w:rPr>
          <w:rFonts w:ascii="Garamond" w:hAnsi="Garamond" w:cs="Arial"/>
        </w:rPr>
      </w:pPr>
      <w:r>
        <w:rPr>
          <w:rFonts w:ascii="Garamond" w:hAnsi="Garamond" w:cs="Arial"/>
        </w:rPr>
        <w:tab/>
      </w:r>
      <w:r w:rsidR="00486469" w:rsidRPr="00217328">
        <w:rPr>
          <w:rFonts w:ascii="Garamond" w:hAnsi="Garamond" w:cs="Arial"/>
        </w:rPr>
        <w:t>This conclusion was further supported by Zhang (2001), finding a positive and significant relationship between exchange rate volatility and FDI flowing into the European Union (EU) from both inside and outside the EU. Conversely, Bailey and Tavlas (1991) employing the risk-averse model of investment concluded that exchange-rate risk has an ambiguous effect on FDI.</w:t>
      </w:r>
    </w:p>
    <w:p w:rsidR="00634889"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p>
    <w:p w:rsidR="00486469" w:rsidRPr="00217328"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r w:rsidR="00486469" w:rsidRPr="00217328">
        <w:rPr>
          <w:rFonts w:ascii="Garamond" w:hAnsi="Garamond" w:cs="Arial"/>
        </w:rPr>
        <w:t xml:space="preserve">An innovative idea was pursued by Bénassy-Quéré </w:t>
      </w:r>
      <w:r w:rsidR="00486469" w:rsidRPr="00217328">
        <w:rPr>
          <w:rFonts w:ascii="Garamond" w:hAnsi="Garamond" w:cs="Arial"/>
          <w:i/>
          <w:iCs/>
        </w:rPr>
        <w:t xml:space="preserve">et al. </w:t>
      </w:r>
      <w:r w:rsidR="00486469" w:rsidRPr="00217328">
        <w:rPr>
          <w:rFonts w:ascii="Garamond" w:hAnsi="Garamond" w:cs="Arial"/>
        </w:rPr>
        <w:t xml:space="preserve">(2001) by focusing on the trade-off between exchange rate depreciation and its volatility in terms of their effects on FDI. They tested their theoretical model on a panel of 42 developing countries receiving FDI from 17 investing countries over 1984-1996. The study emphasized the role played by the covariance between the exchange rates of currencies used in two alternative locations of inward FDI. It was affirmed that when a risk-averse firm contemplates relocating in two alternative foreign locations for the purpose of re-exporting, transportation costs influence the sensitivity of FDI to exchange rate volatility. This view stems from the analysis that regardless of the sign of correlation between the two exchange rates movements, an increase in the volatility of any of the two countries’ exchange rate leads to a reduction in FDI. Moreover, lower volatility of exchange rate in a country increases the sensitivity of output in that country to local costs. </w:t>
      </w:r>
      <w:r w:rsidR="00486469" w:rsidRPr="00217328">
        <w:rPr>
          <w:rFonts w:ascii="Garamond" w:hAnsi="Garamond" w:cs="Arial"/>
        </w:rPr>
        <w:lastRenderedPageBreak/>
        <w:t xml:space="preserve">More precisely, they showed that a one-point increase in exchange rate volatility reduces the FDI stock by 0.63 percent. They concluded that the negative impact of excessive volatility on FDI could erode the apparent attractiveness resulting from currency depreciation. </w:t>
      </w:r>
    </w:p>
    <w:p w:rsidR="00634889"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p>
    <w:p w:rsidR="00486469" w:rsidRPr="00217328"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r w:rsidR="00486469" w:rsidRPr="00217328">
        <w:rPr>
          <w:rFonts w:ascii="Garamond" w:hAnsi="Garamond" w:cs="Arial"/>
        </w:rPr>
        <w:t xml:space="preserve">Another noteworthy development in estimating the relationship between ERV and FDI flows is Kamaly (2001). The author undertook a study of a panel of 151 developing countries between 1990 and 1999. The results revealed systematic evidence demonstrating that ERV has significant adverse effect on FDI flows to developing countries.  </w:t>
      </w:r>
    </w:p>
    <w:p w:rsidR="00634889"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 xml:space="preserve">         </w:t>
      </w:r>
    </w:p>
    <w:p w:rsidR="00486469" w:rsidRPr="00217328"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r w:rsidR="00486469" w:rsidRPr="00217328">
        <w:rPr>
          <w:rFonts w:ascii="Garamond" w:hAnsi="Garamond" w:cs="Arial"/>
        </w:rPr>
        <w:t xml:space="preserve">Empirical evidence also </w:t>
      </w:r>
      <w:r w:rsidR="00931285" w:rsidRPr="00217328">
        <w:rPr>
          <w:rFonts w:ascii="Garamond" w:hAnsi="Garamond" w:cs="Arial"/>
        </w:rPr>
        <w:t>show</w:t>
      </w:r>
      <w:r w:rsidR="00486469" w:rsidRPr="00217328">
        <w:rPr>
          <w:rFonts w:ascii="Garamond" w:hAnsi="Garamond" w:cs="Arial"/>
        </w:rPr>
        <w:t>s ambigu</w:t>
      </w:r>
      <w:r w:rsidR="00931285" w:rsidRPr="00217328">
        <w:rPr>
          <w:rFonts w:ascii="Garamond" w:hAnsi="Garamond" w:cs="Arial"/>
        </w:rPr>
        <w:t>ity i</w:t>
      </w:r>
      <w:r w:rsidR="00486469" w:rsidRPr="00217328">
        <w:rPr>
          <w:rFonts w:ascii="Garamond" w:hAnsi="Garamond" w:cs="Arial"/>
        </w:rPr>
        <w:t>n the re</w:t>
      </w:r>
      <w:r w:rsidR="00931285" w:rsidRPr="00217328">
        <w:rPr>
          <w:rFonts w:ascii="Garamond" w:hAnsi="Garamond" w:cs="Arial"/>
        </w:rPr>
        <w:t>lationship between ERV and FDI</w:t>
      </w:r>
      <w:r w:rsidR="00486469" w:rsidRPr="00217328">
        <w:rPr>
          <w:rFonts w:ascii="Garamond" w:hAnsi="Garamond" w:cs="Arial"/>
        </w:rPr>
        <w:t xml:space="preserve">. Examining both </w:t>
      </w:r>
      <w:r w:rsidR="00487D97" w:rsidRPr="00217328">
        <w:rPr>
          <w:rFonts w:ascii="Garamond" w:hAnsi="Garamond" w:cs="Arial"/>
        </w:rPr>
        <w:t xml:space="preserve">the </w:t>
      </w:r>
      <w:r w:rsidR="00486469" w:rsidRPr="00217328">
        <w:rPr>
          <w:rFonts w:ascii="Garamond" w:hAnsi="Garamond" w:cs="Arial"/>
        </w:rPr>
        <w:t xml:space="preserve">outward US FDI in 12 developed countries and inward investment to the US from these same countries for the period 1983 and 1995, </w:t>
      </w:r>
      <w:r w:rsidR="00931285" w:rsidRPr="00217328">
        <w:rPr>
          <w:rFonts w:ascii="Garamond" w:hAnsi="Garamond" w:cs="Arial"/>
        </w:rPr>
        <w:t>(Gorg and Wakelin (2002), for example, found that exchange rate volatility has no effect on US outward FDI.</w:t>
      </w:r>
      <w:r w:rsidR="00486469" w:rsidRPr="00217328">
        <w:rPr>
          <w:rFonts w:ascii="Garamond" w:hAnsi="Garamond" w:cs="Arial"/>
        </w:rPr>
        <w:t xml:space="preserve"> This finding runs contrary to previous studies, including Cushman’s (1985) model of the choice between FDI and exports under exchange rate volatility and Campa’s (1993) extension of the standard model, where there is no choice between exports and FDI, to include risk- neutral firms.</w:t>
      </w:r>
    </w:p>
    <w:p w:rsidR="00634889"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p>
    <w:p w:rsidR="00486469" w:rsidRPr="00217328"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r w:rsidR="00486469" w:rsidRPr="00217328">
        <w:rPr>
          <w:rFonts w:ascii="Garamond" w:hAnsi="Garamond" w:cs="Arial"/>
        </w:rPr>
        <w:t xml:space="preserve">Regarding FDI inflows to the US, Gorg and Wakelin (2002) found that exchange rate volatility has no statistically significant effect on inward FDI, which is consistent with the finding regarding outward US FDI. The level of exchange rate was shown to negatively affect FDI inflows. This means that FDI inflows increases as the foreign currency appreciates against the dollar. This result is consistent with Froot and Stein (1991) who claimed that FDI increases as the host country’s currency depreciates as relative asset prices in the host country become cheaper. However, the result is not in consonance with Gorg and Wakelin’s (2002) own finding on the effect of exchange rate level on outward FDI, which showed that </w:t>
      </w:r>
      <w:r w:rsidR="00487D97" w:rsidRPr="00217328">
        <w:rPr>
          <w:rFonts w:ascii="Garamond" w:hAnsi="Garamond" w:cs="Arial"/>
        </w:rPr>
        <w:t xml:space="preserve">the </w:t>
      </w:r>
      <w:r w:rsidR="00486469" w:rsidRPr="00217328">
        <w:rPr>
          <w:rFonts w:ascii="Garamond" w:hAnsi="Garamond" w:cs="Arial"/>
        </w:rPr>
        <w:t>US foreign investment decreased as the host country’s currency depreciated against the dollar.</w:t>
      </w:r>
    </w:p>
    <w:p w:rsidR="00634889"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p>
    <w:p w:rsidR="00486469" w:rsidRPr="00217328"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r w:rsidR="00486469" w:rsidRPr="00217328">
        <w:rPr>
          <w:rFonts w:ascii="Garamond" w:hAnsi="Garamond" w:cs="Arial"/>
        </w:rPr>
        <w:t xml:space="preserve">Chakrabarti (2001) was definite about the relationship, reporting a negative relationship for the American FDI to 20 OECD countries. In a similar vein, </w:t>
      </w:r>
      <w:r w:rsidR="00760F54" w:rsidRPr="00217328">
        <w:rPr>
          <w:rFonts w:ascii="Garamond" w:hAnsi="Garamond" w:cs="Arial"/>
        </w:rPr>
        <w:t xml:space="preserve">Galgau and </w:t>
      </w:r>
      <w:r w:rsidR="00486469" w:rsidRPr="00217328">
        <w:rPr>
          <w:rFonts w:ascii="Garamond" w:hAnsi="Garamond" w:cs="Arial"/>
        </w:rPr>
        <w:t>S</w:t>
      </w:r>
      <w:r w:rsidR="00760F54" w:rsidRPr="00217328">
        <w:rPr>
          <w:rFonts w:ascii="Garamond" w:hAnsi="Garamond" w:cs="Arial"/>
        </w:rPr>
        <w:t>ekkat</w:t>
      </w:r>
      <w:r w:rsidR="00486469" w:rsidRPr="00217328">
        <w:rPr>
          <w:rFonts w:ascii="Garamond" w:hAnsi="Garamond" w:cs="Arial"/>
        </w:rPr>
        <w:t xml:space="preserve"> (2004) also found that increases in the variance of bilateral exchange rates deter FDI inflows originating outside the EU with a positive link for FDI flows between EU nations. In a study, however, Amuedo-Dorantes and Pozo (2001) reported that there is a positive coefficient associated </w:t>
      </w:r>
      <w:r w:rsidR="00486469" w:rsidRPr="00217328">
        <w:rPr>
          <w:rFonts w:ascii="Garamond" w:hAnsi="Garamond" w:cs="Arial"/>
        </w:rPr>
        <w:lastRenderedPageBreak/>
        <w:t>with volatility of the exchange rate measured as the standard deviation within a rolling window but a negative coefficient emerges when a GARCH construction is used, with both coefficients being significant. This led them to conclude that the effects of exchange rate volatility on FDI may not be robust to the measure of volatility adopted.</w:t>
      </w:r>
    </w:p>
    <w:p w:rsidR="00634889"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p>
    <w:p w:rsidR="00486469" w:rsidRPr="00217328"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r w:rsidR="00486469" w:rsidRPr="00217328">
        <w:rPr>
          <w:rFonts w:ascii="Garamond" w:hAnsi="Garamond" w:cs="Arial"/>
        </w:rPr>
        <w:t>This lack of robustness is the focus of Chakrabarti and Scholnick (2002). The paper examine</w:t>
      </w:r>
      <w:r w:rsidR="003805C6">
        <w:rPr>
          <w:rFonts w:ascii="Garamond" w:hAnsi="Garamond" w:cs="Arial"/>
        </w:rPr>
        <w:t>d</w:t>
      </w:r>
      <w:r w:rsidR="00486469" w:rsidRPr="00217328">
        <w:rPr>
          <w:rFonts w:ascii="Garamond" w:hAnsi="Garamond" w:cs="Arial"/>
        </w:rPr>
        <w:t xml:space="preserve"> the relationship between exchange rate expectations and FDI flows from the US to twenty OECD countries </w:t>
      </w:r>
      <w:r w:rsidR="006E1F4F">
        <w:rPr>
          <w:rFonts w:ascii="Garamond" w:hAnsi="Garamond" w:cs="Arial"/>
        </w:rPr>
        <w:t>between</w:t>
      </w:r>
      <w:r w:rsidR="00486469" w:rsidRPr="00217328">
        <w:rPr>
          <w:rFonts w:ascii="Garamond" w:hAnsi="Garamond" w:cs="Arial"/>
        </w:rPr>
        <w:t xml:space="preserve"> 1982</w:t>
      </w:r>
      <w:r w:rsidR="006E1F4F">
        <w:rPr>
          <w:rFonts w:ascii="Garamond" w:hAnsi="Garamond" w:cs="Arial"/>
        </w:rPr>
        <w:t xml:space="preserve"> and </w:t>
      </w:r>
      <w:r w:rsidR="00486469" w:rsidRPr="00217328">
        <w:rPr>
          <w:rFonts w:ascii="Garamond" w:hAnsi="Garamond" w:cs="Arial"/>
        </w:rPr>
        <w:t>1995 based on the mean-reverting expectations. This analysis aimed at determining whether the estimated relationship between excha</w:t>
      </w:r>
      <w:r w:rsidR="00FF3AFF" w:rsidRPr="00217328">
        <w:rPr>
          <w:rFonts w:ascii="Garamond" w:hAnsi="Garamond" w:cs="Arial"/>
        </w:rPr>
        <w:t>n</w:t>
      </w:r>
      <w:r w:rsidR="00486469" w:rsidRPr="00217328">
        <w:rPr>
          <w:rFonts w:ascii="Garamond" w:hAnsi="Garamond" w:cs="Arial"/>
        </w:rPr>
        <w:t xml:space="preserve">ge rate volatility and FDI are robust across different methodological specifications. To achieve this, OLS, GLS and various panel specifications including both the fixed and random effects specifications were employed. Specifically, the relationship between the mean, standard deviation and skewness of monthly exchange rate devaluations of the currency of the host country during the preceding year and </w:t>
      </w:r>
      <w:r w:rsidR="00487D97" w:rsidRPr="00217328">
        <w:rPr>
          <w:rFonts w:ascii="Garamond" w:hAnsi="Garamond" w:cs="Arial"/>
        </w:rPr>
        <w:t xml:space="preserve">the </w:t>
      </w:r>
      <w:r w:rsidR="00486469" w:rsidRPr="00217328">
        <w:rPr>
          <w:rFonts w:ascii="Garamond" w:hAnsi="Garamond" w:cs="Arial"/>
        </w:rPr>
        <w:t>current US FDI inflows to the country were examined. This was the first study that used skewness to capture the effects of relatively large exchange rate shocks predominantly in one direction on FDI flows. The results seem to corroborate Campa (1993) and Cushman (1988). In three of the four models specified, exchange rate volatility turned out to be insignificant. In the case of the GLS model where it was sig</w:t>
      </w:r>
      <w:r w:rsidR="00931285" w:rsidRPr="00217328">
        <w:rPr>
          <w:rFonts w:ascii="Garamond" w:hAnsi="Garamond" w:cs="Arial"/>
        </w:rPr>
        <w:t>nificant, the sign was negative,</w:t>
      </w:r>
      <w:r w:rsidR="00486469" w:rsidRPr="00217328">
        <w:rPr>
          <w:rFonts w:ascii="Garamond" w:hAnsi="Garamond" w:cs="Arial"/>
        </w:rPr>
        <w:t xml:space="preserve"> suggesting that increase</w:t>
      </w:r>
      <w:r w:rsidR="00487D97" w:rsidRPr="00217328">
        <w:rPr>
          <w:rFonts w:ascii="Garamond" w:hAnsi="Garamond" w:cs="Arial"/>
        </w:rPr>
        <w:t>s</w:t>
      </w:r>
      <w:r w:rsidR="00486469" w:rsidRPr="00217328">
        <w:rPr>
          <w:rFonts w:ascii="Garamond" w:hAnsi="Garamond" w:cs="Arial"/>
        </w:rPr>
        <w:t xml:space="preserve"> in </w:t>
      </w:r>
      <w:r w:rsidR="00487D97" w:rsidRPr="00217328">
        <w:rPr>
          <w:rFonts w:ascii="Garamond" w:hAnsi="Garamond" w:cs="Arial"/>
        </w:rPr>
        <w:t>exchange rate volatility reduced</w:t>
      </w:r>
      <w:r w:rsidR="00486469" w:rsidRPr="00217328">
        <w:rPr>
          <w:rFonts w:ascii="Garamond" w:hAnsi="Garamond" w:cs="Arial"/>
        </w:rPr>
        <w:t xml:space="preserve"> FDI flows. </w:t>
      </w:r>
    </w:p>
    <w:p w:rsidR="00634889"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p>
    <w:p w:rsidR="00486469" w:rsidRPr="00217328"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r w:rsidR="00486469" w:rsidRPr="00217328">
        <w:rPr>
          <w:rFonts w:ascii="Garamond" w:hAnsi="Garamond" w:cs="Arial"/>
        </w:rPr>
        <w:t xml:space="preserve">Studies on the relationship between exchange rate and exchange rate volatility, on the one hand, and FDI, on the other, for SSA countries are very sparse. Alaba (2003) is one of the </w:t>
      </w:r>
      <w:r w:rsidR="00F221BD" w:rsidRPr="00217328">
        <w:rPr>
          <w:rFonts w:ascii="Garamond" w:hAnsi="Garamond" w:cs="Arial"/>
        </w:rPr>
        <w:t xml:space="preserve">very few </w:t>
      </w:r>
      <w:r w:rsidR="00487D97" w:rsidRPr="00217328">
        <w:rPr>
          <w:rFonts w:ascii="Garamond" w:hAnsi="Garamond" w:cs="Arial"/>
        </w:rPr>
        <w:t>authors</w:t>
      </w:r>
      <w:r w:rsidR="00486469" w:rsidRPr="00217328">
        <w:rPr>
          <w:rFonts w:ascii="Garamond" w:hAnsi="Garamond" w:cs="Arial"/>
        </w:rPr>
        <w:t xml:space="preserve"> that have attempted to bridge this gap. He aimed at determining the magnitude and direction of the effects of exchange rate movement and its volatility on FDI flows to agriculture and manufacturing sectors in Nigeria. Employing the GARCH measure of volatility, the error correction methodology was used for the empirical investigation in testing the effects of both the official and parallel market exchange rates on FDI flows to agriculture and manufacturing. While the results show that the official market exchange rate movement significantly reduces FDI inflows to agriculture, the same is, however, insignificant for the manufacturing FDI. For the volatility coefficients, official market exchange rate volatility was not found to be significant for FDI inflows to both manufacturing and agriculture. Conversely, the estimated parallel market exchange rate coefficients suggest that both systematic movement of the exchange rate and its volatility are </w:t>
      </w:r>
      <w:r w:rsidR="00486469" w:rsidRPr="00217328">
        <w:rPr>
          <w:rFonts w:ascii="Garamond" w:hAnsi="Garamond" w:cs="Arial"/>
        </w:rPr>
        <w:lastRenderedPageBreak/>
        <w:t xml:space="preserve">significant for </w:t>
      </w:r>
      <w:r w:rsidR="00487D97" w:rsidRPr="00217328">
        <w:rPr>
          <w:rFonts w:ascii="Garamond" w:hAnsi="Garamond" w:cs="Arial"/>
        </w:rPr>
        <w:t xml:space="preserve">the </w:t>
      </w:r>
      <w:r w:rsidR="00486469" w:rsidRPr="00217328">
        <w:rPr>
          <w:rFonts w:ascii="Garamond" w:hAnsi="Garamond" w:cs="Arial"/>
        </w:rPr>
        <w:t xml:space="preserve">flow of FDI to both agriculture and manufacturing in Nigeria with the parallel market rates, yielding both negative and positive signs for exchange rate volatility in the two sectors. The conclusion was that while exchange rate volatility attracted investment in agriculture it deterred FDI in the manufacturing sector, thus suggesting ambiguity </w:t>
      </w:r>
      <w:r w:rsidR="00487D97" w:rsidRPr="00217328">
        <w:rPr>
          <w:rFonts w:ascii="Garamond" w:hAnsi="Garamond" w:cs="Arial"/>
        </w:rPr>
        <w:t>regarding</w:t>
      </w:r>
      <w:r w:rsidR="00486469" w:rsidRPr="00217328">
        <w:rPr>
          <w:rFonts w:ascii="Garamond" w:hAnsi="Garamond" w:cs="Arial"/>
        </w:rPr>
        <w:t xml:space="preserve"> the effects of exchange rate movements and its volatility on FDI inflows in SSA. </w:t>
      </w:r>
    </w:p>
    <w:p w:rsidR="00634889"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p>
    <w:p w:rsidR="00486469" w:rsidRPr="00217328"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r w:rsidR="00486469" w:rsidRPr="00217328">
        <w:rPr>
          <w:rFonts w:ascii="Garamond" w:hAnsi="Garamond" w:cs="Arial"/>
        </w:rPr>
        <w:t xml:space="preserve">Mowatt and Zulu (1999) in a study of the South African investment in the Southern and Eastern African region, identified exchange rate as one of the major barriers to FDI in Zimbabwe, Botswana and Mozambique. Similarly, in a survey of the southern African countries, Jenkins and Thomas (2002) found that about 25% of the total firms surveyed identified exchange rate risk as an important determinant of FDI in the sub-region. </w:t>
      </w:r>
    </w:p>
    <w:p w:rsidR="00634889"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p>
    <w:p w:rsidR="00486469" w:rsidRPr="00217328" w:rsidRDefault="00634889" w:rsidP="00432C32">
      <w:pPr>
        <w:autoSpaceDE w:val="0"/>
        <w:autoSpaceDN w:val="0"/>
        <w:adjustRightInd w:val="0"/>
        <w:spacing w:line="360" w:lineRule="auto"/>
        <w:ind w:hanging="540"/>
        <w:jc w:val="both"/>
        <w:rPr>
          <w:rFonts w:ascii="Garamond" w:hAnsi="Garamond" w:cs="Arial"/>
        </w:rPr>
      </w:pPr>
      <w:r>
        <w:rPr>
          <w:rFonts w:ascii="Garamond" w:hAnsi="Garamond" w:cs="Arial"/>
        </w:rPr>
        <w:tab/>
      </w:r>
      <w:r w:rsidR="00486469" w:rsidRPr="00217328">
        <w:rPr>
          <w:rFonts w:ascii="Garamond" w:hAnsi="Garamond" w:cs="Arial"/>
        </w:rPr>
        <w:t>This review shows that the literature recognizes the existence of a significant linkage between exchange rate volatility and FDI in both developed and developing countries. However, this relationship differs across countries and seems to be sensitive to the measure of volatility employed. More importantly, the literature on this relationship in SSA is sparse.</w:t>
      </w:r>
    </w:p>
    <w:p w:rsidR="00BB5E3F" w:rsidRPr="00217328" w:rsidRDefault="00BB5E3F" w:rsidP="00432C32">
      <w:pPr>
        <w:autoSpaceDE w:val="0"/>
        <w:autoSpaceDN w:val="0"/>
        <w:adjustRightInd w:val="0"/>
        <w:spacing w:line="360" w:lineRule="auto"/>
        <w:ind w:hanging="540"/>
        <w:jc w:val="both"/>
        <w:rPr>
          <w:rFonts w:ascii="Garamond" w:hAnsi="Garamond" w:cs="Arial"/>
        </w:rPr>
      </w:pPr>
    </w:p>
    <w:p w:rsidR="0096063D" w:rsidRPr="00217328" w:rsidRDefault="00445D73" w:rsidP="00432C32">
      <w:pPr>
        <w:spacing w:line="360" w:lineRule="auto"/>
        <w:jc w:val="both"/>
        <w:rPr>
          <w:rFonts w:ascii="Garamond" w:hAnsi="Garamond" w:cs="Arial"/>
          <w:color w:val="292526"/>
        </w:rPr>
      </w:pPr>
      <w:r w:rsidRPr="00217328">
        <w:rPr>
          <w:rFonts w:ascii="Garamond" w:hAnsi="Garamond" w:cs="Arial"/>
          <w:b/>
          <w:color w:val="292526"/>
        </w:rPr>
        <w:t xml:space="preserve">4. </w:t>
      </w:r>
      <w:r w:rsidR="00487D97" w:rsidRPr="00217328">
        <w:rPr>
          <w:rFonts w:ascii="Garamond" w:hAnsi="Garamond" w:cs="Arial"/>
          <w:b/>
          <w:color w:val="292526"/>
        </w:rPr>
        <w:t xml:space="preserve">The </w:t>
      </w:r>
      <w:r w:rsidR="0055359F" w:rsidRPr="00217328">
        <w:rPr>
          <w:rFonts w:ascii="Garamond" w:hAnsi="Garamond" w:cs="Arial"/>
          <w:b/>
          <w:color w:val="292526"/>
        </w:rPr>
        <w:t xml:space="preserve">Model, </w:t>
      </w:r>
      <w:r w:rsidR="002B779D" w:rsidRPr="00217328">
        <w:rPr>
          <w:rFonts w:ascii="Garamond" w:hAnsi="Garamond" w:cs="Arial"/>
          <w:b/>
          <w:color w:val="292526"/>
        </w:rPr>
        <w:t>Data and E</w:t>
      </w:r>
      <w:r w:rsidRPr="00217328">
        <w:rPr>
          <w:rFonts w:ascii="Garamond" w:hAnsi="Garamond" w:cs="Arial"/>
          <w:b/>
          <w:color w:val="292526"/>
        </w:rPr>
        <w:t>stimation Procedures</w:t>
      </w:r>
      <w:r w:rsidR="001B270E" w:rsidRPr="00217328">
        <w:rPr>
          <w:rFonts w:ascii="Garamond" w:hAnsi="Garamond" w:cs="Arial"/>
          <w:color w:val="292526"/>
        </w:rPr>
        <w:tab/>
      </w:r>
    </w:p>
    <w:p w:rsidR="00F439F7" w:rsidRPr="00217328" w:rsidRDefault="00672B6D" w:rsidP="00432C32">
      <w:pPr>
        <w:autoSpaceDE w:val="0"/>
        <w:autoSpaceDN w:val="0"/>
        <w:adjustRightInd w:val="0"/>
        <w:spacing w:line="360" w:lineRule="auto"/>
        <w:jc w:val="both"/>
        <w:rPr>
          <w:rFonts w:ascii="Garamond" w:hAnsi="Garamond" w:cs="Arial"/>
        </w:rPr>
      </w:pPr>
      <w:r w:rsidRPr="00217328">
        <w:rPr>
          <w:rFonts w:ascii="Garamond" w:hAnsi="Garamond" w:cs="Arial"/>
        </w:rPr>
        <w:t>Estimating t</w:t>
      </w:r>
      <w:r w:rsidR="003D0FAB" w:rsidRPr="00217328">
        <w:rPr>
          <w:rFonts w:ascii="Garamond" w:hAnsi="Garamond" w:cs="Arial"/>
        </w:rPr>
        <w:t>h</w:t>
      </w:r>
      <w:r w:rsidR="00C12869" w:rsidRPr="00217328">
        <w:rPr>
          <w:rFonts w:ascii="Garamond" w:hAnsi="Garamond" w:cs="Arial"/>
        </w:rPr>
        <w:t>e</w:t>
      </w:r>
      <w:r w:rsidR="003D0FAB" w:rsidRPr="00217328">
        <w:rPr>
          <w:rFonts w:ascii="Garamond" w:hAnsi="Garamond" w:cs="Arial"/>
        </w:rPr>
        <w:t xml:space="preserve"> </w:t>
      </w:r>
      <w:r w:rsidR="00C12869" w:rsidRPr="00217328">
        <w:rPr>
          <w:rFonts w:ascii="Garamond" w:hAnsi="Garamond" w:cs="Arial"/>
        </w:rPr>
        <w:t xml:space="preserve">real exchange rate </w:t>
      </w:r>
      <w:r w:rsidR="003D0FAB" w:rsidRPr="00217328">
        <w:rPr>
          <w:rFonts w:ascii="Garamond" w:hAnsi="Garamond" w:cs="Arial"/>
        </w:rPr>
        <w:t xml:space="preserve">volatility </w:t>
      </w:r>
      <w:r w:rsidRPr="00217328">
        <w:rPr>
          <w:rFonts w:ascii="Garamond" w:hAnsi="Garamond" w:cs="Arial"/>
        </w:rPr>
        <w:t xml:space="preserve">employs a model that combines fundamental determinants of exchange rate and exchange rate regimes. It is noteworthy to mention at this juncture that data constraints and </w:t>
      </w:r>
      <w:r w:rsidR="0043234E" w:rsidRPr="00217328">
        <w:rPr>
          <w:rFonts w:ascii="Garamond" w:hAnsi="Garamond" w:cs="Arial"/>
        </w:rPr>
        <w:t>need to preserve a reasonable level of degrees of freedom limit the extent to which all fundamental determinants of real exchange rate</w:t>
      </w:r>
      <w:r w:rsidR="008728AD">
        <w:rPr>
          <w:rFonts w:ascii="Garamond" w:hAnsi="Garamond" w:cs="Arial"/>
        </w:rPr>
        <w:t xml:space="preserve"> can be incorporated</w:t>
      </w:r>
      <w:r w:rsidR="0043234E" w:rsidRPr="00217328">
        <w:rPr>
          <w:rFonts w:ascii="Garamond" w:hAnsi="Garamond" w:cs="Arial"/>
        </w:rPr>
        <w:t xml:space="preserve">. Thus, we concentrate on the most important fundamentals in each country. </w:t>
      </w:r>
      <w:r w:rsidR="00F439F7" w:rsidRPr="00217328">
        <w:rPr>
          <w:rFonts w:ascii="Garamond" w:hAnsi="Garamond" w:cs="Arial"/>
        </w:rPr>
        <w:t xml:space="preserve">The </w:t>
      </w:r>
      <w:r w:rsidR="001C583B" w:rsidRPr="00217328">
        <w:rPr>
          <w:rFonts w:ascii="Garamond" w:hAnsi="Garamond"/>
        </w:rPr>
        <w:t>Exponential Generalised Autoregressive Conditional Heteroscedasticity</w:t>
      </w:r>
      <w:r w:rsidR="001C583B" w:rsidRPr="00217328">
        <w:rPr>
          <w:rFonts w:ascii="Garamond" w:hAnsi="Garamond" w:cs="Arial"/>
        </w:rPr>
        <w:t xml:space="preserve"> (</w:t>
      </w:r>
      <w:r w:rsidR="003D0FAB" w:rsidRPr="00217328">
        <w:rPr>
          <w:rFonts w:ascii="Garamond" w:hAnsi="Garamond" w:cs="Arial"/>
        </w:rPr>
        <w:t>EGARCH</w:t>
      </w:r>
      <w:r w:rsidR="001C583B" w:rsidRPr="00217328">
        <w:rPr>
          <w:rFonts w:ascii="Garamond" w:hAnsi="Garamond" w:cs="Arial"/>
        </w:rPr>
        <w:t>)</w:t>
      </w:r>
      <w:r w:rsidR="003D0FAB" w:rsidRPr="00217328">
        <w:rPr>
          <w:rFonts w:ascii="Garamond" w:hAnsi="Garamond" w:cs="Arial"/>
        </w:rPr>
        <w:t xml:space="preserve"> methodology</w:t>
      </w:r>
      <w:r w:rsidR="00F439F7" w:rsidRPr="00217328">
        <w:rPr>
          <w:rFonts w:ascii="Garamond" w:hAnsi="Garamond" w:cs="Arial"/>
        </w:rPr>
        <w:t xml:space="preserve"> is adopted for this analysis because it</w:t>
      </w:r>
      <w:r w:rsidR="001C583B" w:rsidRPr="00217328">
        <w:rPr>
          <w:rFonts w:ascii="Garamond" w:hAnsi="Garamond" w:cs="cmr10"/>
          <w:lang w:val="en-US"/>
        </w:rPr>
        <w:t xml:space="preserve"> allows positive and negative innovations to have asymmetric effect on the conditional variance</w:t>
      </w:r>
      <w:r w:rsidR="003D0FAB" w:rsidRPr="00217328">
        <w:rPr>
          <w:rFonts w:ascii="Garamond" w:hAnsi="Garamond" w:cs="Arial"/>
        </w:rPr>
        <w:t xml:space="preserve">. This measure of volatility has been adjudged superior to other measures </w:t>
      </w:r>
      <w:r w:rsidR="00C12869" w:rsidRPr="00217328">
        <w:rPr>
          <w:rFonts w:ascii="Garamond" w:hAnsi="Garamond" w:cs="Arial"/>
        </w:rPr>
        <w:t xml:space="preserve">because it takes cognizance of the asymmetric </w:t>
      </w:r>
      <w:r w:rsidR="002D6473" w:rsidRPr="00217328">
        <w:rPr>
          <w:rFonts w:ascii="Garamond" w:hAnsi="Garamond" w:cs="Arial"/>
        </w:rPr>
        <w:t>volatility</w:t>
      </w:r>
      <w:r w:rsidR="00C12869" w:rsidRPr="00217328">
        <w:rPr>
          <w:rFonts w:ascii="Garamond" w:hAnsi="Garamond" w:cs="Arial"/>
        </w:rPr>
        <w:t xml:space="preserve"> in real exchange rate</w:t>
      </w:r>
      <w:r w:rsidR="003D0FAB" w:rsidRPr="00217328">
        <w:rPr>
          <w:rFonts w:ascii="Garamond" w:hAnsi="Garamond" w:cs="Arial"/>
        </w:rPr>
        <w:t xml:space="preserve">. </w:t>
      </w:r>
      <w:r w:rsidR="00F439F7" w:rsidRPr="00217328">
        <w:rPr>
          <w:rFonts w:ascii="Garamond" w:hAnsi="Garamond" w:cs="Arial"/>
        </w:rPr>
        <w:t>The model, therefore, takes this form:</w:t>
      </w:r>
    </w:p>
    <w:p w:rsidR="00F439F7" w:rsidRPr="00217328" w:rsidRDefault="00F439F7" w:rsidP="00432C32">
      <w:pPr>
        <w:autoSpaceDE w:val="0"/>
        <w:autoSpaceDN w:val="0"/>
        <w:adjustRightInd w:val="0"/>
        <w:spacing w:line="360" w:lineRule="auto"/>
        <w:jc w:val="both"/>
        <w:rPr>
          <w:rFonts w:ascii="Garamond" w:hAnsi="Garamond" w:cs="Arial"/>
        </w:rPr>
      </w:pPr>
      <w:r w:rsidRPr="00217328">
        <w:rPr>
          <w:rFonts w:ascii="Garamond" w:hAnsi="Garamond"/>
          <w:position w:val="-12"/>
        </w:rPr>
        <w:object w:dxaOrig="1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7pt" o:ole="">
            <v:imagedata r:id="rId10" o:title=""/>
          </v:shape>
          <o:OLEObject Type="Embed" ProgID="Equation.DSMT4" ShapeID="_x0000_i1025" DrawAspect="Content" ObjectID="_1380518012" r:id="rId11"/>
        </w:object>
      </w:r>
      <w:r w:rsidRPr="00217328">
        <w:rPr>
          <w:rFonts w:ascii="Garamond" w:hAnsi="Garamond"/>
        </w:rPr>
        <w:t xml:space="preserve">                                                                                                                 (2)</w:t>
      </w:r>
    </w:p>
    <w:p w:rsidR="00C371C9" w:rsidRPr="00A44305" w:rsidRDefault="00F439F7" w:rsidP="00432C32">
      <w:pPr>
        <w:autoSpaceDE w:val="0"/>
        <w:autoSpaceDN w:val="0"/>
        <w:adjustRightInd w:val="0"/>
        <w:spacing w:line="360" w:lineRule="auto"/>
        <w:jc w:val="both"/>
        <w:rPr>
          <w:rFonts w:ascii="Garamond" w:hAnsi="Garamond"/>
        </w:rPr>
      </w:pPr>
      <w:r w:rsidRPr="00A44305">
        <w:rPr>
          <w:rFonts w:ascii="Garamond" w:hAnsi="Garamond" w:cs="Arial"/>
        </w:rPr>
        <w:t xml:space="preserve">Where </w:t>
      </w:r>
      <w:r w:rsidRPr="00A44305">
        <w:rPr>
          <w:rFonts w:ascii="Garamond" w:hAnsi="Garamond"/>
          <w:position w:val="-12"/>
        </w:rPr>
        <w:object w:dxaOrig="240" w:dyaOrig="360">
          <v:shape id="_x0000_i1026" type="#_x0000_t75" style="width:12pt;height:18pt" o:ole="">
            <v:imagedata r:id="rId12" o:title=""/>
          </v:shape>
          <o:OLEObject Type="Embed" ProgID="Equation.DSMT4" ShapeID="_x0000_i1026" DrawAspect="Content" ObjectID="_1380518013" r:id="rId13"/>
        </w:object>
      </w:r>
      <w:r w:rsidRPr="00A44305">
        <w:rPr>
          <w:rFonts w:ascii="Garamond" w:hAnsi="Garamond"/>
        </w:rPr>
        <w:t xml:space="preserve"> is the conditional exchange rate volatility derived from EGARCH (1,1) </w:t>
      </w:r>
      <w:r w:rsidR="00056D09" w:rsidRPr="00A44305">
        <w:rPr>
          <w:rFonts w:ascii="Garamond" w:hAnsi="Garamond"/>
        </w:rPr>
        <w:t xml:space="preserve">autoregressive order </w:t>
      </w:r>
      <w:r w:rsidR="00056D09" w:rsidRPr="00A44305">
        <w:rPr>
          <w:rFonts w:ascii="Garamond" w:hAnsi="Garamond"/>
          <w:i/>
        </w:rPr>
        <w:t>q</w:t>
      </w:r>
      <w:r w:rsidR="00056D09" w:rsidRPr="00A44305">
        <w:rPr>
          <w:rFonts w:ascii="Garamond" w:hAnsi="Garamond"/>
        </w:rPr>
        <w:t xml:space="preserve"> </w:t>
      </w:r>
      <w:r w:rsidR="00C371C9" w:rsidRPr="00A44305">
        <w:rPr>
          <w:rFonts w:ascii="Garamond" w:hAnsi="Garamond"/>
        </w:rPr>
        <w:t xml:space="preserve">{AR(q)} </w:t>
      </w:r>
      <w:r w:rsidRPr="00A44305">
        <w:rPr>
          <w:rFonts w:ascii="Garamond" w:hAnsi="Garamond"/>
        </w:rPr>
        <w:t>specifications.</w:t>
      </w:r>
      <w:r w:rsidR="0013564F" w:rsidRPr="00A44305">
        <w:rPr>
          <w:rFonts w:ascii="Garamond" w:hAnsi="Garamond"/>
        </w:rPr>
        <w:t xml:space="preserve"> </w:t>
      </w:r>
      <w:r w:rsidR="0013564F" w:rsidRPr="00A44305">
        <w:rPr>
          <w:rFonts w:ascii="Garamond" w:hAnsi="Garamond"/>
          <w:i/>
        </w:rPr>
        <w:t xml:space="preserve">q </w:t>
      </w:r>
      <w:r w:rsidR="0013564F" w:rsidRPr="00A44305">
        <w:rPr>
          <w:rFonts w:ascii="Garamond" w:hAnsi="Garamond"/>
        </w:rPr>
        <w:t>is the lag length chosen on the basis of Akaike Iinformation Criterion,</w:t>
      </w:r>
      <w:r w:rsidR="0013564F" w:rsidRPr="00A44305">
        <w:rPr>
          <w:rFonts w:ascii="Garamond" w:hAnsi="Garamond"/>
          <w:i/>
        </w:rPr>
        <w:t xml:space="preserve"> </w:t>
      </w:r>
      <w:r w:rsidRPr="00A44305">
        <w:rPr>
          <w:rFonts w:ascii="Garamond" w:hAnsi="Garamond"/>
          <w:position w:val="-6"/>
        </w:rPr>
        <w:object w:dxaOrig="200" w:dyaOrig="220">
          <v:shape id="_x0000_i1027" type="#_x0000_t75" style="width:9.75pt;height:11.25pt" o:ole="">
            <v:imagedata r:id="rId14" o:title=""/>
          </v:shape>
          <o:OLEObject Type="Embed" ProgID="Equation.DSMT4" ShapeID="_x0000_i1027" DrawAspect="Content" ObjectID="_1380518014" r:id="rId15"/>
        </w:object>
      </w:r>
      <w:r w:rsidRPr="00A44305">
        <w:rPr>
          <w:rFonts w:ascii="Garamond" w:hAnsi="Garamond"/>
        </w:rPr>
        <w:t>is a vector of exogenous variables</w:t>
      </w:r>
      <w:r w:rsidR="005C2B62" w:rsidRPr="00A44305">
        <w:rPr>
          <w:rFonts w:ascii="Garamond" w:hAnsi="Garamond"/>
        </w:rPr>
        <w:t xml:space="preserve">, while </w:t>
      </w:r>
      <w:r w:rsidR="005C2B62" w:rsidRPr="00A44305">
        <w:rPr>
          <w:rFonts w:ascii="Garamond" w:hAnsi="Garamond"/>
          <w:i/>
        </w:rPr>
        <w:t>i</w:t>
      </w:r>
      <w:r w:rsidR="005C2B62" w:rsidRPr="00A44305">
        <w:rPr>
          <w:rFonts w:ascii="Garamond" w:hAnsi="Garamond"/>
        </w:rPr>
        <w:t xml:space="preserve"> and </w:t>
      </w:r>
      <w:r w:rsidR="005C2B62" w:rsidRPr="00A44305">
        <w:rPr>
          <w:rFonts w:ascii="Garamond" w:hAnsi="Garamond"/>
          <w:i/>
        </w:rPr>
        <w:t xml:space="preserve">t </w:t>
      </w:r>
      <w:r w:rsidR="005C2B62" w:rsidRPr="00A44305">
        <w:rPr>
          <w:rFonts w:ascii="Garamond" w:hAnsi="Garamond"/>
        </w:rPr>
        <w:t xml:space="preserve">are number of variables and time, respectively. </w:t>
      </w:r>
      <w:r w:rsidR="00C371C9" w:rsidRPr="00A44305">
        <w:rPr>
          <w:rFonts w:ascii="Garamond" w:hAnsi="Garamond"/>
        </w:rPr>
        <w:t>The AR(q) is usually denoted as:</w:t>
      </w:r>
    </w:p>
    <w:p w:rsidR="00C371C9" w:rsidRPr="00A44305" w:rsidRDefault="005778EF" w:rsidP="00432C32">
      <w:pPr>
        <w:autoSpaceDE w:val="0"/>
        <w:autoSpaceDN w:val="0"/>
        <w:adjustRightInd w:val="0"/>
        <w:spacing w:line="360" w:lineRule="auto"/>
        <w:jc w:val="both"/>
        <w:rPr>
          <w:rFonts w:ascii="Garamond" w:hAnsi="Garamond"/>
        </w:rPr>
      </w:pPr>
      <w:r w:rsidRPr="00A44305">
        <w:rPr>
          <w:rFonts w:ascii="Garamond" w:hAnsi="Garamond"/>
          <w:position w:val="-28"/>
        </w:rPr>
        <w:object w:dxaOrig="2420" w:dyaOrig="680">
          <v:shape id="_x0000_i1028" type="#_x0000_t75" style="width:171pt;height:48pt" o:ole="">
            <v:imagedata r:id="rId16" o:title=""/>
          </v:shape>
          <o:OLEObject Type="Embed" ProgID="Equation.DSMT4" ShapeID="_x0000_i1028" DrawAspect="Content" ObjectID="_1380518015" r:id="rId17"/>
        </w:object>
      </w:r>
      <w:r w:rsidRPr="00A44305">
        <w:rPr>
          <w:rFonts w:ascii="Garamond" w:hAnsi="Garamond"/>
        </w:rPr>
        <w:t xml:space="preserve">                                                                                  (3)</w:t>
      </w:r>
    </w:p>
    <w:p w:rsidR="009521ED" w:rsidRPr="00A44305" w:rsidRDefault="007E11D4" w:rsidP="00432C32">
      <w:pPr>
        <w:autoSpaceDE w:val="0"/>
        <w:autoSpaceDN w:val="0"/>
        <w:adjustRightInd w:val="0"/>
        <w:spacing w:line="360" w:lineRule="auto"/>
        <w:jc w:val="both"/>
        <w:rPr>
          <w:rFonts w:ascii="Garamond" w:hAnsi="Garamond"/>
        </w:rPr>
      </w:pPr>
      <w:r w:rsidRPr="00A44305">
        <w:rPr>
          <w:rFonts w:ascii="Garamond" w:hAnsi="Garamond"/>
        </w:rPr>
        <w:t xml:space="preserve">Where </w:t>
      </w:r>
      <w:r w:rsidRPr="00A44305">
        <w:rPr>
          <w:rFonts w:ascii="Garamond" w:hAnsi="Garamond"/>
          <w:position w:val="-12"/>
        </w:rPr>
        <w:object w:dxaOrig="380" w:dyaOrig="360">
          <v:shape id="_x0000_i1029" type="#_x0000_t75" style="width:18.75pt;height:18pt" o:ole="">
            <v:imagedata r:id="rId18" o:title=""/>
          </v:shape>
          <o:OLEObject Type="Embed" ProgID="Equation.DSMT4" ShapeID="_x0000_i1029" DrawAspect="Content" ObjectID="_1380518016" r:id="rId19"/>
        </w:object>
      </w:r>
      <w:r w:rsidR="009521ED" w:rsidRPr="00A44305">
        <w:rPr>
          <w:rFonts w:ascii="Garamond" w:hAnsi="Garamond"/>
        </w:rPr>
        <w:t xml:space="preserve"> is the log of real exchange rate (</w:t>
      </w:r>
      <w:r w:rsidR="009521ED" w:rsidRPr="00A44305">
        <w:rPr>
          <w:rFonts w:ascii="Garamond" w:hAnsi="Garamond"/>
          <w:position w:val="-12"/>
        </w:rPr>
        <w:object w:dxaOrig="260" w:dyaOrig="360">
          <v:shape id="_x0000_i1030" type="#_x0000_t75" style="width:12.75pt;height:18pt" o:ole="">
            <v:imagedata r:id="rId20" o:title=""/>
          </v:shape>
          <o:OLEObject Type="Embed" ProgID="Equation.DSMT4" ShapeID="_x0000_i1030" DrawAspect="Content" ObjectID="_1380518017" r:id="rId21"/>
        </w:object>
      </w:r>
      <w:r w:rsidR="009521ED" w:rsidRPr="00A44305">
        <w:rPr>
          <w:rFonts w:ascii="Garamond" w:hAnsi="Garamond"/>
        </w:rPr>
        <w:t>) differenced once</w:t>
      </w:r>
      <w:r w:rsidR="0013564F" w:rsidRPr="00A44305">
        <w:rPr>
          <w:rFonts w:ascii="Garamond" w:hAnsi="Garamond"/>
        </w:rPr>
        <w:t xml:space="preserve"> and </w:t>
      </w:r>
      <w:r w:rsidR="009521ED" w:rsidRPr="00A44305">
        <w:rPr>
          <w:rFonts w:ascii="Garamond" w:hAnsi="Garamond"/>
          <w:position w:val="-12"/>
        </w:rPr>
        <w:object w:dxaOrig="240" w:dyaOrig="360">
          <v:shape id="_x0000_i1031" type="#_x0000_t75" style="width:12pt;height:18pt" o:ole="">
            <v:imagedata r:id="rId22" o:title=""/>
          </v:shape>
          <o:OLEObject Type="Embed" ProgID="Equation.DSMT4" ShapeID="_x0000_i1031" DrawAspect="Content" ObjectID="_1380518018" r:id="rId23"/>
        </w:object>
      </w:r>
      <w:r w:rsidR="009521ED" w:rsidRPr="00A44305">
        <w:rPr>
          <w:rFonts w:ascii="Garamond" w:hAnsi="Garamond"/>
        </w:rPr>
        <w:t xml:space="preserve"> is the residuals used in testing for the presence of ARCH/GARCH effects in the real exchange rate</w:t>
      </w:r>
      <w:r w:rsidR="0013564F" w:rsidRPr="00A44305">
        <w:rPr>
          <w:rFonts w:ascii="Garamond" w:hAnsi="Garamond"/>
        </w:rPr>
        <w:t xml:space="preserve">. </w:t>
      </w:r>
    </w:p>
    <w:p w:rsidR="00F439F7" w:rsidRPr="00A44305" w:rsidRDefault="009521ED" w:rsidP="00432C32">
      <w:pPr>
        <w:autoSpaceDE w:val="0"/>
        <w:autoSpaceDN w:val="0"/>
        <w:adjustRightInd w:val="0"/>
        <w:spacing w:line="360" w:lineRule="auto"/>
        <w:jc w:val="both"/>
        <w:rPr>
          <w:rFonts w:ascii="Garamond" w:hAnsi="Garamond"/>
        </w:rPr>
      </w:pPr>
      <w:r w:rsidRPr="00A44305">
        <w:rPr>
          <w:rFonts w:ascii="Garamond" w:hAnsi="Garamond"/>
        </w:rPr>
        <w:t xml:space="preserve"> </w:t>
      </w:r>
      <w:r w:rsidR="005C2B62" w:rsidRPr="00A44305">
        <w:rPr>
          <w:rFonts w:ascii="Garamond" w:hAnsi="Garamond"/>
        </w:rPr>
        <w:t xml:space="preserve">The </w:t>
      </w:r>
      <w:r w:rsidR="003A61E3" w:rsidRPr="00A44305">
        <w:rPr>
          <w:rFonts w:ascii="Garamond" w:hAnsi="Garamond"/>
        </w:rPr>
        <w:t xml:space="preserve">country-specific </w:t>
      </w:r>
      <w:r w:rsidR="005C2B62" w:rsidRPr="00A44305">
        <w:rPr>
          <w:rFonts w:ascii="Garamond" w:hAnsi="Garamond"/>
        </w:rPr>
        <w:t>estimated empirical model is of the form:</w:t>
      </w:r>
    </w:p>
    <w:p w:rsidR="005C2B62" w:rsidRPr="00217328" w:rsidRDefault="006049D1" w:rsidP="00432C32">
      <w:pPr>
        <w:autoSpaceDE w:val="0"/>
        <w:autoSpaceDN w:val="0"/>
        <w:adjustRightInd w:val="0"/>
        <w:spacing w:line="360" w:lineRule="auto"/>
        <w:jc w:val="both"/>
        <w:rPr>
          <w:rFonts w:ascii="Garamond" w:hAnsi="Garamond"/>
        </w:rPr>
      </w:pPr>
      <w:r w:rsidRPr="00217328">
        <w:rPr>
          <w:rFonts w:ascii="Garamond" w:hAnsi="Garamond"/>
          <w:position w:val="-36"/>
        </w:rPr>
        <w:object w:dxaOrig="7000" w:dyaOrig="840">
          <v:shape id="_x0000_i1032" type="#_x0000_t75" style="width:387pt;height:46.5pt" o:ole="">
            <v:imagedata r:id="rId24" o:title=""/>
          </v:shape>
          <o:OLEObject Type="Embed" ProgID="Equation.DSMT4" ShapeID="_x0000_i1032" DrawAspect="Content" ObjectID="_1380518019" r:id="rId25"/>
        </w:object>
      </w:r>
      <w:r w:rsidR="005778EF" w:rsidRPr="00217328">
        <w:rPr>
          <w:rFonts w:ascii="Garamond" w:hAnsi="Garamond"/>
        </w:rPr>
        <w:t xml:space="preserve">         (4)</w:t>
      </w:r>
    </w:p>
    <w:p w:rsidR="0013564F" w:rsidRPr="00634889" w:rsidRDefault="0013564F" w:rsidP="00432C32">
      <w:pPr>
        <w:autoSpaceDE w:val="0"/>
        <w:autoSpaceDN w:val="0"/>
        <w:adjustRightInd w:val="0"/>
        <w:spacing w:line="360" w:lineRule="auto"/>
        <w:jc w:val="both"/>
        <w:rPr>
          <w:rFonts w:ascii="Garamond" w:hAnsi="Garamond"/>
        </w:rPr>
      </w:pPr>
      <w:r w:rsidRPr="00634889">
        <w:rPr>
          <w:rFonts w:ascii="Garamond" w:hAnsi="Garamond"/>
        </w:rPr>
        <w:t xml:space="preserve">Here, </w:t>
      </w:r>
      <w:r w:rsidRPr="00634889">
        <w:rPr>
          <w:rFonts w:ascii="Garamond" w:hAnsi="Garamond"/>
          <w:position w:val="-12"/>
        </w:rPr>
        <w:object w:dxaOrig="240" w:dyaOrig="360">
          <v:shape id="_x0000_i1033" type="#_x0000_t75" style="width:12pt;height:18pt" o:ole="">
            <v:imagedata r:id="rId26" o:title=""/>
          </v:shape>
          <o:OLEObject Type="Embed" ProgID="Equation.DSMT4" ShapeID="_x0000_i1033" DrawAspect="Content" ObjectID="_1380518020" r:id="rId27"/>
        </w:object>
      </w:r>
      <w:r w:rsidRPr="00634889">
        <w:rPr>
          <w:rFonts w:ascii="Garamond" w:hAnsi="Garamond"/>
        </w:rPr>
        <w:t xml:space="preserve"> is the conditional variance of real exchange rate derived from EGARCH (1,1)</w:t>
      </w:r>
      <w:r w:rsidR="003A61E3" w:rsidRPr="00634889">
        <w:rPr>
          <w:rFonts w:ascii="Garamond" w:hAnsi="Garamond"/>
        </w:rPr>
        <w:t xml:space="preserve">, </w:t>
      </w:r>
      <w:r w:rsidR="006049D1" w:rsidRPr="00634889">
        <w:rPr>
          <w:rFonts w:ascii="Garamond" w:hAnsi="Garamond"/>
        </w:rPr>
        <w:t xml:space="preserve">D is the dummy variable that characterises exchange rate regime. </w:t>
      </w:r>
      <w:r w:rsidR="00EC5C49" w:rsidRPr="00634889">
        <w:rPr>
          <w:rFonts w:ascii="Garamond" w:hAnsi="Garamond"/>
        </w:rPr>
        <w:t xml:space="preserve">It assumes the value of 1 during fixed exchange rate regime and zero otherwise. </w:t>
      </w:r>
      <w:r w:rsidR="003A61E3" w:rsidRPr="00634889">
        <w:rPr>
          <w:rFonts w:ascii="Garamond" w:hAnsi="Garamond"/>
          <w:position w:val="-12"/>
        </w:rPr>
        <w:object w:dxaOrig="300" w:dyaOrig="360">
          <v:shape id="_x0000_i1034" type="#_x0000_t75" style="width:15pt;height:18pt" o:ole="">
            <v:imagedata r:id="rId28" o:title=""/>
          </v:shape>
          <o:OLEObject Type="Embed" ProgID="Equation.DSMT4" ShapeID="_x0000_i1034" DrawAspect="Content" ObjectID="_1380518021" r:id="rId29"/>
        </w:object>
      </w:r>
      <w:r w:rsidR="003A61E3" w:rsidRPr="00634889">
        <w:rPr>
          <w:rFonts w:ascii="Garamond" w:hAnsi="Garamond"/>
        </w:rPr>
        <w:t xml:space="preserve">, </w:t>
      </w:r>
      <w:r w:rsidR="003A61E3" w:rsidRPr="00634889">
        <w:rPr>
          <w:rFonts w:ascii="Garamond" w:hAnsi="Garamond"/>
          <w:position w:val="-10"/>
        </w:rPr>
        <w:object w:dxaOrig="240" w:dyaOrig="320">
          <v:shape id="_x0000_i1035" type="#_x0000_t75" style="width:12pt;height:15.75pt" o:ole="">
            <v:imagedata r:id="rId30" o:title=""/>
          </v:shape>
          <o:OLEObject Type="Embed" ProgID="Equation.DSMT4" ShapeID="_x0000_i1035" DrawAspect="Content" ObjectID="_1380518022" r:id="rId31"/>
        </w:object>
      </w:r>
      <w:r w:rsidR="003A61E3" w:rsidRPr="00634889">
        <w:rPr>
          <w:rFonts w:ascii="Garamond" w:hAnsi="Garamond"/>
        </w:rPr>
        <w:t xml:space="preserve">, </w:t>
      </w:r>
      <w:r w:rsidR="003A61E3" w:rsidRPr="00634889">
        <w:rPr>
          <w:rFonts w:ascii="Garamond" w:hAnsi="Garamond"/>
          <w:position w:val="-10"/>
        </w:rPr>
        <w:object w:dxaOrig="200" w:dyaOrig="320">
          <v:shape id="_x0000_i1036" type="#_x0000_t75" style="width:9.75pt;height:15.75pt" o:ole="">
            <v:imagedata r:id="rId32" o:title=""/>
          </v:shape>
          <o:OLEObject Type="Embed" ProgID="Equation.DSMT4" ShapeID="_x0000_i1036" DrawAspect="Content" ObjectID="_1380518023" r:id="rId33"/>
        </w:object>
      </w:r>
      <w:r w:rsidR="003A61E3" w:rsidRPr="00634889">
        <w:rPr>
          <w:rFonts w:ascii="Garamond" w:hAnsi="Garamond"/>
        </w:rPr>
        <w:t xml:space="preserve">, </w:t>
      </w:r>
      <w:r w:rsidR="003A61E3" w:rsidRPr="00634889">
        <w:rPr>
          <w:rFonts w:ascii="Garamond" w:hAnsi="Garamond"/>
          <w:position w:val="-10"/>
        </w:rPr>
        <w:object w:dxaOrig="200" w:dyaOrig="260">
          <v:shape id="_x0000_i1037" type="#_x0000_t75" style="width:9.75pt;height:12.75pt" o:ole="">
            <v:imagedata r:id="rId34" o:title=""/>
          </v:shape>
          <o:OLEObject Type="Embed" ProgID="Equation.DSMT4" ShapeID="_x0000_i1037" DrawAspect="Content" ObjectID="_1380518024" r:id="rId35"/>
        </w:object>
      </w:r>
      <w:r w:rsidR="003A61E3" w:rsidRPr="00634889">
        <w:rPr>
          <w:rFonts w:ascii="Garamond" w:hAnsi="Garamond"/>
        </w:rPr>
        <w:t xml:space="preserve">, </w:t>
      </w:r>
      <w:r w:rsidR="003A61E3" w:rsidRPr="00634889">
        <w:rPr>
          <w:rFonts w:ascii="Garamond" w:hAnsi="Garamond"/>
          <w:position w:val="-6"/>
        </w:rPr>
        <w:object w:dxaOrig="200" w:dyaOrig="279">
          <v:shape id="_x0000_i1038" type="#_x0000_t75" style="width:9.75pt;height:14.25pt" o:ole="">
            <v:imagedata r:id="rId36" o:title=""/>
          </v:shape>
          <o:OLEObject Type="Embed" ProgID="Equation.DSMT4" ShapeID="_x0000_i1038" DrawAspect="Content" ObjectID="_1380518025" r:id="rId37"/>
        </w:object>
      </w:r>
      <w:r w:rsidR="003A61E3" w:rsidRPr="00634889">
        <w:rPr>
          <w:rFonts w:ascii="Garamond" w:hAnsi="Garamond"/>
        </w:rPr>
        <w:t xml:space="preserve">, and </w:t>
      </w:r>
      <w:r w:rsidR="003A61E3" w:rsidRPr="00634889">
        <w:rPr>
          <w:rFonts w:ascii="Garamond" w:hAnsi="Garamond"/>
          <w:position w:val="-12"/>
        </w:rPr>
        <w:object w:dxaOrig="260" w:dyaOrig="360">
          <v:shape id="_x0000_i1039" type="#_x0000_t75" style="width:12.75pt;height:18pt" o:ole="">
            <v:imagedata r:id="rId38" o:title=""/>
          </v:shape>
          <o:OLEObject Type="Embed" ProgID="Equation.DSMT4" ShapeID="_x0000_i1039" DrawAspect="Content" ObjectID="_1380518026" r:id="rId39"/>
        </w:object>
      </w:r>
      <w:r w:rsidR="003A61E3" w:rsidRPr="00634889">
        <w:rPr>
          <w:rFonts w:ascii="Garamond" w:hAnsi="Garamond"/>
        </w:rPr>
        <w:t xml:space="preserve"> are the coefficients for estimation, while </w:t>
      </w:r>
      <w:r w:rsidR="003A61E3" w:rsidRPr="00634889">
        <w:rPr>
          <w:rFonts w:ascii="Garamond" w:hAnsi="Garamond"/>
          <w:position w:val="-12"/>
        </w:rPr>
        <w:object w:dxaOrig="240" w:dyaOrig="360">
          <v:shape id="_x0000_i1040" type="#_x0000_t75" style="width:12pt;height:18pt" o:ole="">
            <v:imagedata r:id="rId40" o:title=""/>
          </v:shape>
          <o:OLEObject Type="Embed" ProgID="Equation.DSMT4" ShapeID="_x0000_i1040" DrawAspect="Content" ObjectID="_1380518027" r:id="rId41"/>
        </w:object>
      </w:r>
      <w:r w:rsidR="003A61E3" w:rsidRPr="00634889">
        <w:rPr>
          <w:rFonts w:ascii="Garamond" w:hAnsi="Garamond"/>
        </w:rPr>
        <w:t xml:space="preserve"> </w:t>
      </w:r>
      <w:r w:rsidR="00FC56B0" w:rsidRPr="00634889">
        <w:rPr>
          <w:rFonts w:ascii="Garamond" w:hAnsi="Garamond"/>
        </w:rPr>
        <w:t>represents</w:t>
      </w:r>
      <w:r w:rsidR="003A61E3" w:rsidRPr="00634889">
        <w:rPr>
          <w:rFonts w:ascii="Garamond" w:hAnsi="Garamond"/>
        </w:rPr>
        <w:t xml:space="preserve"> </w:t>
      </w:r>
      <w:r w:rsidR="00FC56B0" w:rsidRPr="00634889">
        <w:rPr>
          <w:rFonts w:ascii="Garamond" w:hAnsi="Garamond"/>
        </w:rPr>
        <w:t xml:space="preserve">the standardised residuals </w:t>
      </w:r>
      <w:r w:rsidR="00FC56B0" w:rsidRPr="00634889">
        <w:rPr>
          <w:rFonts w:ascii="Garamond" w:hAnsi="Garamond"/>
          <w:position w:val="-36"/>
        </w:rPr>
        <w:object w:dxaOrig="700" w:dyaOrig="840">
          <v:shape id="_x0000_i1041" type="#_x0000_t75" style="width:35.25pt;height:42pt" o:ole="">
            <v:imagedata r:id="rId42" o:title=""/>
          </v:shape>
          <o:OLEObject Type="Embed" ProgID="Equation.DSMT4" ShapeID="_x0000_i1041" DrawAspect="Content" ObjectID="_1380518028" r:id="rId43"/>
        </w:object>
      </w:r>
      <w:r w:rsidR="00FC56B0" w:rsidRPr="00634889">
        <w:rPr>
          <w:rFonts w:ascii="Garamond" w:hAnsi="Garamond"/>
        </w:rPr>
        <w:t xml:space="preserve"> which is </w:t>
      </w:r>
      <w:r w:rsidR="00E533ED" w:rsidRPr="00634889">
        <w:rPr>
          <w:rFonts w:ascii="Garamond" w:hAnsi="Garamond"/>
          <w:i/>
        </w:rPr>
        <w:t>iid</w:t>
      </w:r>
      <w:r w:rsidR="00FC56B0" w:rsidRPr="00634889">
        <w:rPr>
          <w:rFonts w:ascii="Garamond" w:hAnsi="Garamond"/>
        </w:rPr>
        <w:t xml:space="preserve"> random variables with </w:t>
      </w:r>
      <w:r w:rsidR="006049D1" w:rsidRPr="00634889">
        <w:rPr>
          <w:rFonts w:ascii="Garamond" w:hAnsi="Garamond"/>
        </w:rPr>
        <w:t xml:space="preserve">standard characteristics of zero </w:t>
      </w:r>
      <w:r w:rsidR="00FC56B0" w:rsidRPr="00634889">
        <w:rPr>
          <w:rFonts w:ascii="Garamond" w:hAnsi="Garamond"/>
        </w:rPr>
        <w:t>mean and variance</w:t>
      </w:r>
      <w:r w:rsidR="006049D1" w:rsidRPr="00634889">
        <w:rPr>
          <w:rFonts w:ascii="Garamond" w:hAnsi="Garamond"/>
        </w:rPr>
        <w:t xml:space="preserve"> one</w:t>
      </w:r>
      <w:r w:rsidR="003A61E3" w:rsidRPr="00634889">
        <w:rPr>
          <w:rFonts w:ascii="Garamond" w:hAnsi="Garamond"/>
        </w:rPr>
        <w:t xml:space="preserve">. </w:t>
      </w:r>
    </w:p>
    <w:p w:rsidR="00634889" w:rsidRDefault="00634889" w:rsidP="00432C32">
      <w:pPr>
        <w:autoSpaceDE w:val="0"/>
        <w:autoSpaceDN w:val="0"/>
        <w:adjustRightInd w:val="0"/>
        <w:spacing w:line="360" w:lineRule="auto"/>
        <w:jc w:val="both"/>
        <w:rPr>
          <w:rFonts w:ascii="Garamond" w:hAnsi="Garamond"/>
        </w:rPr>
      </w:pPr>
    </w:p>
    <w:p w:rsidR="006049D1" w:rsidRPr="00634889" w:rsidRDefault="00EC5C49" w:rsidP="00432C32">
      <w:pPr>
        <w:autoSpaceDE w:val="0"/>
        <w:autoSpaceDN w:val="0"/>
        <w:adjustRightInd w:val="0"/>
        <w:spacing w:line="360" w:lineRule="auto"/>
        <w:jc w:val="both"/>
        <w:rPr>
          <w:rFonts w:ascii="Garamond" w:hAnsi="Garamond"/>
        </w:rPr>
      </w:pPr>
      <w:r w:rsidRPr="00634889">
        <w:rPr>
          <w:rFonts w:ascii="Garamond" w:hAnsi="Garamond"/>
        </w:rPr>
        <w:t xml:space="preserve">The fundamentals included in modelling real exchange rate for the respective countries are Money supply, foreign exchange reserves, inflation rate, domestic and foreign real interest rate, trade openness, terms of trade and real shocks. For </w:t>
      </w:r>
      <w:r w:rsidR="007C0B59" w:rsidRPr="00634889">
        <w:rPr>
          <w:rFonts w:ascii="Garamond" w:hAnsi="Garamond"/>
        </w:rPr>
        <w:t>choice</w:t>
      </w:r>
      <w:r w:rsidRPr="00634889">
        <w:rPr>
          <w:rFonts w:ascii="Garamond" w:hAnsi="Garamond"/>
        </w:rPr>
        <w:t xml:space="preserve"> of these variables, please see </w:t>
      </w:r>
      <w:r w:rsidR="007C0B59" w:rsidRPr="00634889">
        <w:rPr>
          <w:rFonts w:ascii="Garamond" w:hAnsi="Garamond"/>
        </w:rPr>
        <w:t xml:space="preserve">Savvides, 1990; Hau, 2002; and Hviding </w:t>
      </w:r>
      <w:r w:rsidR="007C0B59" w:rsidRPr="00634889">
        <w:rPr>
          <w:rFonts w:ascii="Garamond" w:hAnsi="Garamond"/>
          <w:i/>
        </w:rPr>
        <w:t>et al</w:t>
      </w:r>
      <w:r w:rsidR="007C0B59" w:rsidRPr="00634889">
        <w:rPr>
          <w:rFonts w:ascii="Garamond" w:hAnsi="Garamond"/>
        </w:rPr>
        <w:t xml:space="preserve">, 2004. </w:t>
      </w:r>
    </w:p>
    <w:p w:rsidR="00634889" w:rsidRDefault="00634889" w:rsidP="00432C32">
      <w:pPr>
        <w:autoSpaceDE w:val="0"/>
        <w:autoSpaceDN w:val="0"/>
        <w:adjustRightInd w:val="0"/>
        <w:spacing w:line="360" w:lineRule="auto"/>
        <w:jc w:val="both"/>
        <w:rPr>
          <w:rFonts w:ascii="Garamond" w:hAnsi="Garamond" w:cs="Arial"/>
        </w:rPr>
      </w:pPr>
    </w:p>
    <w:p w:rsidR="00BF3C13" w:rsidRPr="00217328" w:rsidRDefault="00BF3C13" w:rsidP="00432C32">
      <w:pPr>
        <w:autoSpaceDE w:val="0"/>
        <w:autoSpaceDN w:val="0"/>
        <w:adjustRightInd w:val="0"/>
        <w:spacing w:line="360" w:lineRule="auto"/>
        <w:jc w:val="both"/>
        <w:rPr>
          <w:rFonts w:ascii="Garamond" w:eastAsia="Times New Roman" w:hAnsi="Garamond" w:cs="Arial"/>
        </w:rPr>
      </w:pPr>
      <w:r w:rsidRPr="00217328">
        <w:rPr>
          <w:rFonts w:ascii="Garamond" w:hAnsi="Garamond" w:cs="Arial"/>
        </w:rPr>
        <w:t>The model employed</w:t>
      </w:r>
      <w:r w:rsidRPr="00217328">
        <w:rPr>
          <w:rFonts w:ascii="Garamond" w:hAnsi="Garamond" w:cs="Arial"/>
          <w:b/>
        </w:rPr>
        <w:t xml:space="preserve"> </w:t>
      </w:r>
      <w:r w:rsidRPr="00217328">
        <w:rPr>
          <w:rFonts w:ascii="Garamond" w:hAnsi="Garamond" w:cs="Arial"/>
        </w:rPr>
        <w:t>in assessing the relationship between exchange rate volatility and FDI</w:t>
      </w:r>
      <w:r w:rsidRPr="00217328">
        <w:rPr>
          <w:rFonts w:ascii="Garamond" w:hAnsi="Garamond" w:cs="Arial"/>
          <w:b/>
        </w:rPr>
        <w:t xml:space="preserve"> </w:t>
      </w:r>
      <w:r w:rsidRPr="00217328">
        <w:rPr>
          <w:rFonts w:ascii="Garamond" w:hAnsi="Garamond" w:cs="Arial"/>
        </w:rPr>
        <w:t xml:space="preserve">draws on the work of Goldberg and Kolstad (1995) where changes in FDI flows depend on the level and volatility of exchange rate, among other factors. However, several modifications are made to adapt the model to suit the peculiarities of the SSA countries. A common belief is that FDI decisions take some time to react to exchange rate changes. To check the veracity of this view, one-year lag of the real exchange rate volatility is included as a regressor depending on the suitability of its inclusion based on variable exclusion tests. Real interest rate in the host country is also introduced into the model given the view that this is a major determinant of FDI flows. This is premised on the argument that the decision by an investor to invest abroad is partly influenced by the foreign interest rate </w:t>
      </w:r>
      <w:r w:rsidRPr="00217328">
        <w:rPr>
          <w:rFonts w:ascii="Garamond" w:hAnsi="Garamond" w:cs="Arial"/>
          <w:i/>
        </w:rPr>
        <w:t xml:space="preserve">vis-à-vis </w:t>
      </w:r>
      <w:r w:rsidRPr="00217328">
        <w:rPr>
          <w:rFonts w:ascii="Garamond" w:hAnsi="Garamond" w:cs="Arial"/>
        </w:rPr>
        <w:t xml:space="preserve">the rate at home. </w:t>
      </w:r>
    </w:p>
    <w:p w:rsidR="00634889" w:rsidRDefault="00634889" w:rsidP="00432C32">
      <w:pPr>
        <w:spacing w:line="360" w:lineRule="auto"/>
        <w:jc w:val="both"/>
        <w:rPr>
          <w:rFonts w:ascii="Garamond" w:hAnsi="Garamond" w:cs="Arial"/>
        </w:rPr>
      </w:pPr>
    </w:p>
    <w:p w:rsidR="00BF3C13" w:rsidRPr="00217328" w:rsidRDefault="00BF3C13" w:rsidP="00432C32">
      <w:pPr>
        <w:spacing w:line="360" w:lineRule="auto"/>
        <w:jc w:val="both"/>
        <w:rPr>
          <w:rFonts w:ascii="Garamond" w:hAnsi="Garamond" w:cs="Arial"/>
        </w:rPr>
      </w:pPr>
      <w:r w:rsidRPr="00217328">
        <w:rPr>
          <w:rFonts w:ascii="Garamond" w:hAnsi="Garamond" w:cs="Arial"/>
        </w:rPr>
        <w:lastRenderedPageBreak/>
        <w:t>Another common view on FDI flows to SSA is that natural resource abundance in this region is the basic force driving FDI to SSA.  Hence, foreign investors are believed not to be sensitive to risk involved in investment in this region. To capture the investors’ attitude towards risk in the region, therefore, the theoretical insights from Itagaki (1981) and Cushman (1985) are employed by including the second moment, that is, the standard deviation of the monthly real exchange rate as an explanatory variable. It has been established empirically that infrastructure is a critical determinant of FDI in SSA (See</w:t>
      </w:r>
      <w:r w:rsidRPr="00217328">
        <w:rPr>
          <w:rFonts w:ascii="Garamond" w:hAnsi="Garamond" w:cs="Arial"/>
          <w:color w:val="FF0000"/>
        </w:rPr>
        <w:t xml:space="preserve"> </w:t>
      </w:r>
      <w:r w:rsidRPr="00217328">
        <w:rPr>
          <w:rFonts w:ascii="Garamond" w:hAnsi="Garamond" w:cs="Arial"/>
        </w:rPr>
        <w:t xml:space="preserve">Bhattacharya </w:t>
      </w:r>
      <w:r w:rsidRPr="00217328">
        <w:rPr>
          <w:rFonts w:ascii="Garamond" w:hAnsi="Garamond" w:cs="Arial"/>
          <w:i/>
        </w:rPr>
        <w:t>et al</w:t>
      </w:r>
      <w:r w:rsidRPr="00217328">
        <w:rPr>
          <w:rFonts w:ascii="Garamond" w:hAnsi="Garamond" w:cs="Arial"/>
        </w:rPr>
        <w:t xml:space="preserve">, 1996; Asiedu 2002; and Jenkins and Thomas, 2002). To capture this view, a measure of infrastructure is included as a regressor. </w:t>
      </w:r>
    </w:p>
    <w:p w:rsidR="00634889" w:rsidRDefault="00634889" w:rsidP="00432C32">
      <w:pPr>
        <w:spacing w:line="360" w:lineRule="auto"/>
        <w:jc w:val="both"/>
        <w:rPr>
          <w:rFonts w:ascii="Garamond" w:hAnsi="Garamond" w:cs="Arial"/>
        </w:rPr>
      </w:pPr>
    </w:p>
    <w:p w:rsidR="00BF3C13" w:rsidRPr="00217328" w:rsidRDefault="00BF3C13" w:rsidP="00432C32">
      <w:pPr>
        <w:spacing w:line="360" w:lineRule="auto"/>
        <w:jc w:val="both"/>
        <w:rPr>
          <w:rFonts w:ascii="Garamond" w:hAnsi="Garamond" w:cs="Arial"/>
        </w:rPr>
      </w:pPr>
      <w:r w:rsidRPr="00217328">
        <w:rPr>
          <w:rFonts w:ascii="Garamond" w:hAnsi="Garamond" w:cs="Arial"/>
        </w:rPr>
        <w:t xml:space="preserve">The last but not the least modification made to the model is the consideration accorded capital control in SSA. For many years, different SSA countries adopted different forms of capital control at different period of their existence. While the relaxation of these controls began in the 1980s, different countries experienced different relaxation periods and level with some, especially the CFA countries, still maintaining some control on capital movements. To control for this and the influence it exerts on FDI inflows, a dummy is introduced to reflect this policy stance. </w:t>
      </w:r>
    </w:p>
    <w:p w:rsidR="00634889" w:rsidRDefault="00634889" w:rsidP="00432C32">
      <w:pPr>
        <w:spacing w:line="360" w:lineRule="auto"/>
        <w:jc w:val="both"/>
        <w:rPr>
          <w:rFonts w:ascii="Garamond" w:hAnsi="Garamond" w:cs="Arial"/>
        </w:rPr>
      </w:pPr>
    </w:p>
    <w:p w:rsidR="00BF3C13" w:rsidRPr="00217328" w:rsidRDefault="00BF3C13" w:rsidP="00432C32">
      <w:pPr>
        <w:spacing w:line="360" w:lineRule="auto"/>
        <w:jc w:val="both"/>
        <w:rPr>
          <w:rFonts w:ascii="Garamond" w:hAnsi="Garamond" w:cs="Arial"/>
        </w:rPr>
      </w:pPr>
      <w:r w:rsidRPr="00217328">
        <w:rPr>
          <w:rFonts w:ascii="Garamond" w:hAnsi="Garamond" w:cs="Arial"/>
        </w:rPr>
        <w:t>Panel-based empirical model is employed by generating pooled cross-section data from individual country time series data. The model is given as:</w:t>
      </w:r>
    </w:p>
    <w:p w:rsidR="00BF3C13" w:rsidRPr="00217328" w:rsidRDefault="00BF3C13" w:rsidP="00432C32">
      <w:pPr>
        <w:spacing w:line="360" w:lineRule="auto"/>
        <w:jc w:val="center"/>
        <w:rPr>
          <w:rFonts w:ascii="Garamond" w:hAnsi="Garamond" w:cs="Arial"/>
        </w:rPr>
      </w:pPr>
      <w:r w:rsidRPr="00217328">
        <w:rPr>
          <w:rFonts w:ascii="Garamond" w:hAnsi="Garamond" w:cs="Arial"/>
          <w:position w:val="-30"/>
        </w:rPr>
        <w:object w:dxaOrig="4400" w:dyaOrig="700">
          <v:shape id="_x0000_i1042" type="#_x0000_t75" style="width:345.75pt;height:38.25pt" o:ole="">
            <v:imagedata r:id="rId44" o:title=""/>
          </v:shape>
          <o:OLEObject Type="Embed" ProgID="Equation.DSMT4" ShapeID="_x0000_i1042" DrawAspect="Content" ObjectID="_1380518029" r:id="rId45"/>
        </w:object>
      </w:r>
      <w:r w:rsidRPr="00217328">
        <w:rPr>
          <w:rFonts w:ascii="Garamond" w:hAnsi="Garamond" w:cs="Arial"/>
        </w:rPr>
        <w:t xml:space="preserve">                        (5)</w:t>
      </w:r>
    </w:p>
    <w:p w:rsidR="00BF3C13" w:rsidRPr="00217328" w:rsidRDefault="00BF3C13" w:rsidP="00432C32">
      <w:pPr>
        <w:spacing w:line="360" w:lineRule="auto"/>
        <w:rPr>
          <w:rFonts w:ascii="Garamond" w:hAnsi="Garamond" w:cs="Arial"/>
        </w:rPr>
      </w:pPr>
      <w:r w:rsidRPr="00217328">
        <w:rPr>
          <w:rFonts w:ascii="Garamond" w:hAnsi="Garamond" w:cs="Arial"/>
        </w:rPr>
        <w:t xml:space="preserve">       </w:t>
      </w:r>
      <w:r w:rsidRPr="00217328">
        <w:rPr>
          <w:rFonts w:ascii="Garamond" w:hAnsi="Garamond" w:cs="Arial"/>
          <w:position w:val="-10"/>
        </w:rPr>
        <w:object w:dxaOrig="1960" w:dyaOrig="320">
          <v:shape id="_x0000_i1043" type="#_x0000_t75" style="width:136.5pt;height:16.5pt" o:ole="">
            <v:imagedata r:id="rId46" o:title=""/>
          </v:shape>
          <o:OLEObject Type="Embed" ProgID="Equation.DSMT4" ShapeID="_x0000_i1043" DrawAspect="Content" ObjectID="_1380518030" r:id="rId47"/>
        </w:object>
      </w:r>
    </w:p>
    <w:p w:rsidR="00BF3C13" w:rsidRPr="00217328" w:rsidRDefault="00BF3C13" w:rsidP="00432C32">
      <w:pPr>
        <w:spacing w:line="360" w:lineRule="auto"/>
        <w:jc w:val="center"/>
        <w:rPr>
          <w:rFonts w:ascii="Garamond" w:hAnsi="Garamond" w:cs="Arial"/>
        </w:rPr>
      </w:pPr>
      <w:r w:rsidRPr="00217328">
        <w:rPr>
          <w:rFonts w:ascii="Garamond" w:hAnsi="Garamond" w:cs="Arial"/>
        </w:rPr>
        <w:t xml:space="preserve">                       </w:t>
      </w:r>
    </w:p>
    <w:p w:rsidR="00BF3C13" w:rsidRPr="00217328" w:rsidRDefault="00BF3C13" w:rsidP="00432C32">
      <w:pPr>
        <w:spacing w:line="360" w:lineRule="auto"/>
        <w:jc w:val="both"/>
        <w:rPr>
          <w:rFonts w:ascii="Garamond" w:hAnsi="Garamond" w:cs="Arial"/>
        </w:rPr>
      </w:pPr>
      <w:r w:rsidRPr="00217328">
        <w:rPr>
          <w:rFonts w:ascii="Garamond" w:hAnsi="Garamond" w:cs="Arial"/>
        </w:rPr>
        <w:t xml:space="preserve">where </w:t>
      </w:r>
      <w:r w:rsidRPr="00217328">
        <w:rPr>
          <w:rFonts w:ascii="Garamond" w:hAnsi="Garamond" w:cs="Arial"/>
          <w:position w:val="-10"/>
        </w:rPr>
        <w:object w:dxaOrig="240" w:dyaOrig="260">
          <v:shape id="_x0000_i1044" type="#_x0000_t75" style="width:12pt;height:12.75pt" o:ole="">
            <v:imagedata r:id="rId48" o:title=""/>
          </v:shape>
          <o:OLEObject Type="Embed" ProgID="Equation.DSMT4" ShapeID="_x0000_i1044" DrawAspect="Content" ObjectID="_1380518031" r:id="rId49"/>
        </w:object>
      </w:r>
      <w:r w:rsidRPr="00217328">
        <w:rPr>
          <w:rFonts w:ascii="Garamond" w:hAnsi="Garamond" w:cs="Arial"/>
        </w:rPr>
        <w:t xml:space="preserve"> is a common intercept term, </w:t>
      </w:r>
      <w:r w:rsidRPr="00217328">
        <w:rPr>
          <w:rFonts w:ascii="Garamond" w:hAnsi="Garamond" w:cs="Arial"/>
          <w:position w:val="-12"/>
        </w:rPr>
        <w:object w:dxaOrig="240" w:dyaOrig="360">
          <v:shape id="_x0000_i1045" type="#_x0000_t75" style="width:12pt;height:18pt" o:ole="">
            <v:imagedata r:id="rId50" o:title=""/>
          </v:shape>
          <o:OLEObject Type="Embed" ProgID="Equation.DSMT4" ShapeID="_x0000_i1045" DrawAspect="Content" ObjectID="_1380518032" r:id="rId51"/>
        </w:object>
      </w:r>
      <w:r w:rsidRPr="00217328">
        <w:rPr>
          <w:rFonts w:ascii="Garamond" w:hAnsi="Garamond" w:cs="Arial"/>
        </w:rPr>
        <w:t xml:space="preserve"> represents the individual-specific effect for each country which accounts for possible cross-country differences in the intercept, </w:t>
      </w:r>
      <w:r w:rsidRPr="00217328">
        <w:rPr>
          <w:rFonts w:ascii="Garamond" w:hAnsi="Garamond" w:cs="Arial"/>
          <w:position w:val="-12"/>
        </w:rPr>
        <w:object w:dxaOrig="240" w:dyaOrig="360">
          <v:shape id="_x0000_i1046" type="#_x0000_t75" style="width:12pt;height:18pt" o:ole="">
            <v:imagedata r:id="rId52" o:title=""/>
          </v:shape>
          <o:OLEObject Type="Embed" ProgID="Equation.DSMT4" ShapeID="_x0000_i1046" DrawAspect="Content" ObjectID="_1380518033" r:id="rId53"/>
        </w:object>
      </w:r>
      <w:r w:rsidRPr="00217328">
        <w:rPr>
          <w:rFonts w:ascii="Garamond" w:hAnsi="Garamond" w:cs="Arial"/>
        </w:rPr>
        <w:t xml:space="preserve"> stands for the time-specific aggregate effect that captures possible time-varying behaviour in the cross-section data, tilde (~) symbolises a transformed variable and </w:t>
      </w:r>
      <w:r w:rsidRPr="00217328">
        <w:rPr>
          <w:rFonts w:ascii="Garamond" w:hAnsi="Garamond" w:cs="Arial"/>
          <w:position w:val="-12"/>
        </w:rPr>
        <w:object w:dxaOrig="279" w:dyaOrig="360">
          <v:shape id="_x0000_i1047" type="#_x0000_t75" style="width:14.25pt;height:18pt" o:ole="">
            <v:imagedata r:id="rId54" o:title=""/>
          </v:shape>
          <o:OLEObject Type="Embed" ProgID="Equation.DSMT4" ShapeID="_x0000_i1047" DrawAspect="Content" ObjectID="_1380518034" r:id="rId55"/>
        </w:object>
      </w:r>
      <w:r w:rsidRPr="00217328">
        <w:rPr>
          <w:rFonts w:ascii="Garamond" w:hAnsi="Garamond" w:cs="Arial"/>
        </w:rPr>
        <w:t xml:space="preserve"> is the idiosyncratic disturbance term. Essentially, equation (1) allows for the systematic tendency of </w:t>
      </w:r>
      <w:r w:rsidRPr="00217328">
        <w:rPr>
          <w:rFonts w:ascii="Garamond" w:hAnsi="Garamond" w:cs="Arial"/>
          <w:position w:val="-12"/>
        </w:rPr>
        <w:object w:dxaOrig="279" w:dyaOrig="360">
          <v:shape id="_x0000_i1048" type="#_x0000_t75" style="width:14.25pt;height:18pt" o:ole="">
            <v:imagedata r:id="rId56" o:title=""/>
          </v:shape>
          <o:OLEObject Type="Embed" ProgID="Equation.DSMT4" ShapeID="_x0000_i1048" DrawAspect="Content" ObjectID="_1380518035" r:id="rId57"/>
        </w:object>
      </w:r>
      <w:r w:rsidRPr="00217328">
        <w:rPr>
          <w:rFonts w:ascii="Garamond" w:hAnsi="Garamond" w:cs="Arial"/>
        </w:rPr>
        <w:t xml:space="preserve"> to be higher for some countries than for others (individual effects) and higher for some time periods than for others (time effects).</w:t>
      </w:r>
    </w:p>
    <w:p w:rsidR="00634889" w:rsidRDefault="00634889" w:rsidP="00432C32">
      <w:pPr>
        <w:autoSpaceDE w:val="0"/>
        <w:autoSpaceDN w:val="0"/>
        <w:adjustRightInd w:val="0"/>
        <w:spacing w:line="360" w:lineRule="auto"/>
        <w:jc w:val="both"/>
        <w:rPr>
          <w:rFonts w:ascii="Garamond" w:hAnsi="Garamond" w:cs="Arial"/>
        </w:rPr>
      </w:pPr>
    </w:p>
    <w:p w:rsidR="00BF3C13" w:rsidRPr="00217328" w:rsidRDefault="00BF3C13" w:rsidP="00432C32">
      <w:pPr>
        <w:autoSpaceDE w:val="0"/>
        <w:autoSpaceDN w:val="0"/>
        <w:adjustRightInd w:val="0"/>
        <w:spacing w:line="360" w:lineRule="auto"/>
        <w:jc w:val="both"/>
        <w:rPr>
          <w:rFonts w:ascii="Garamond" w:hAnsi="Garamond" w:cs="Arial"/>
        </w:rPr>
      </w:pPr>
      <w:r w:rsidRPr="00217328">
        <w:rPr>
          <w:rFonts w:ascii="Garamond" w:hAnsi="Garamond" w:cs="Arial"/>
        </w:rPr>
        <w:lastRenderedPageBreak/>
        <w:t>FDI is the annual FDI inflows to each selected country. This represents total FDI flows from all sources to all sectors of the host economy, and is measured in real term as the ratio of FDI in GDP. Exchange rate level is measured as the real effective exchange rate. This is the most appropriate measure for exchange rate for a study of this nature given its ability to capture and measure the international competitiveness of countries. Moreover, it has been weighted by the level of trade and investment between each country and the rest of the world. This has the advantage of eliminating the bias of the sample towards actual investors when bilateral exchange rates are used and account as much as possible for potential investors in the sense that investors, actual or potential, are more likely to come from countries which are already in trading relationship with these countries. Risk attitude of the investors are measured as the standard deviation of the quarterly real exchange rate (Kiyota and Urata, 2004). This variable captures the foreign investors’ attitude to risk as a determining factor for investing in SSA.</w:t>
      </w:r>
    </w:p>
    <w:p w:rsidR="00634889" w:rsidRDefault="00634889" w:rsidP="00432C32">
      <w:pPr>
        <w:autoSpaceDE w:val="0"/>
        <w:autoSpaceDN w:val="0"/>
        <w:adjustRightInd w:val="0"/>
        <w:spacing w:line="360" w:lineRule="auto"/>
        <w:jc w:val="both"/>
        <w:rPr>
          <w:rFonts w:ascii="Garamond" w:hAnsi="Garamond" w:cs="Arial"/>
        </w:rPr>
      </w:pPr>
    </w:p>
    <w:p w:rsidR="00445D73" w:rsidRPr="00217328" w:rsidRDefault="00C70EAF" w:rsidP="00432C32">
      <w:pPr>
        <w:autoSpaceDE w:val="0"/>
        <w:autoSpaceDN w:val="0"/>
        <w:adjustRightInd w:val="0"/>
        <w:spacing w:line="360" w:lineRule="auto"/>
        <w:jc w:val="both"/>
        <w:rPr>
          <w:rFonts w:ascii="Garamond" w:hAnsi="Garamond" w:cs="cmr10"/>
          <w:lang w:val="en-US"/>
        </w:rPr>
      </w:pPr>
      <w:r w:rsidRPr="00217328">
        <w:rPr>
          <w:rFonts w:ascii="Garamond" w:hAnsi="Garamond" w:cs="Arial"/>
        </w:rPr>
        <w:t>The lag of exchange rate volatility</w:t>
      </w:r>
      <w:r w:rsidR="003D0FAB" w:rsidRPr="00217328">
        <w:rPr>
          <w:rFonts w:ascii="Garamond" w:hAnsi="Garamond" w:cs="Arial"/>
        </w:rPr>
        <w:t xml:space="preserve"> captures the view that FDI flows </w:t>
      </w:r>
      <w:r w:rsidR="00BF3C13" w:rsidRPr="00217328">
        <w:rPr>
          <w:rFonts w:ascii="Garamond" w:hAnsi="Garamond" w:cs="Arial"/>
        </w:rPr>
        <w:t xml:space="preserve">influence real </w:t>
      </w:r>
      <w:r w:rsidR="003D0FAB" w:rsidRPr="00217328">
        <w:rPr>
          <w:rFonts w:ascii="Garamond" w:hAnsi="Garamond" w:cs="Arial"/>
        </w:rPr>
        <w:t>exchange rate volatility</w:t>
      </w:r>
      <w:r w:rsidR="00BF3C13" w:rsidRPr="00217328">
        <w:rPr>
          <w:rFonts w:ascii="Garamond" w:hAnsi="Garamond" w:cs="Arial"/>
        </w:rPr>
        <w:t xml:space="preserve"> with a lag</w:t>
      </w:r>
      <w:r w:rsidR="003D0FAB" w:rsidRPr="00217328">
        <w:rPr>
          <w:rFonts w:ascii="Garamond" w:hAnsi="Garamond" w:cs="Arial"/>
        </w:rPr>
        <w:t xml:space="preserve">. </w:t>
      </w:r>
      <w:r w:rsidRPr="00217328">
        <w:rPr>
          <w:rFonts w:ascii="Garamond" w:hAnsi="Garamond" w:cs="Arial"/>
        </w:rPr>
        <w:t>Demand volatility</w:t>
      </w:r>
      <w:r w:rsidR="003D0FAB" w:rsidRPr="00217328">
        <w:rPr>
          <w:rFonts w:ascii="Garamond" w:hAnsi="Garamond" w:cs="Arial"/>
        </w:rPr>
        <w:t xml:space="preserve"> captures the market size as well as economic uncertainty in the individual economies as a determining motive for FDI. </w:t>
      </w:r>
      <w:r w:rsidRPr="00217328">
        <w:rPr>
          <w:rFonts w:ascii="Garamond" w:hAnsi="Garamond" w:cs="Arial"/>
        </w:rPr>
        <w:t>R</w:t>
      </w:r>
      <w:r w:rsidR="003D0FAB" w:rsidRPr="00217328">
        <w:rPr>
          <w:rFonts w:ascii="Garamond" w:hAnsi="Garamond" w:cs="Arial"/>
        </w:rPr>
        <w:t xml:space="preserve">eal interest rate in the host economy </w:t>
      </w:r>
      <w:r w:rsidRPr="00217328">
        <w:rPr>
          <w:rFonts w:ascii="Garamond" w:hAnsi="Garamond" w:cs="Arial"/>
        </w:rPr>
        <w:t>reflects</w:t>
      </w:r>
      <w:r w:rsidR="003D0FAB" w:rsidRPr="00217328">
        <w:rPr>
          <w:rFonts w:ascii="Garamond" w:hAnsi="Garamond" w:cs="Arial"/>
        </w:rPr>
        <w:t xml:space="preserve"> </w:t>
      </w:r>
      <w:r w:rsidRPr="00217328">
        <w:rPr>
          <w:rFonts w:ascii="Garamond" w:hAnsi="Garamond" w:cs="Arial"/>
        </w:rPr>
        <w:t xml:space="preserve">return to investment in </w:t>
      </w:r>
      <w:r w:rsidR="003D0FAB" w:rsidRPr="00217328">
        <w:rPr>
          <w:rFonts w:ascii="Garamond" w:hAnsi="Garamond" w:cs="Arial"/>
        </w:rPr>
        <w:t xml:space="preserve">the host country. </w:t>
      </w:r>
      <w:r w:rsidRPr="00217328">
        <w:rPr>
          <w:rFonts w:ascii="Garamond" w:hAnsi="Garamond" w:cs="Arial"/>
        </w:rPr>
        <w:t>I</w:t>
      </w:r>
      <w:r w:rsidR="003D0FAB" w:rsidRPr="00217328">
        <w:rPr>
          <w:rFonts w:ascii="Garamond" w:hAnsi="Garamond" w:cs="Arial"/>
        </w:rPr>
        <w:t xml:space="preserve">nfrastructure </w:t>
      </w:r>
      <w:r w:rsidRPr="00217328">
        <w:rPr>
          <w:rFonts w:ascii="Garamond" w:hAnsi="Garamond" w:cs="Arial"/>
        </w:rPr>
        <w:t>is proxied</w:t>
      </w:r>
      <w:r w:rsidR="003D0FAB" w:rsidRPr="00217328">
        <w:rPr>
          <w:rFonts w:ascii="Garamond" w:hAnsi="Garamond" w:cs="Arial"/>
        </w:rPr>
        <w:t xml:space="preserve"> by the total electricity provision in each country. This variable is measured as the total electricity production less electricity power losses during transmission and distribution. </w:t>
      </w:r>
      <w:r w:rsidRPr="00217328">
        <w:rPr>
          <w:rFonts w:ascii="Garamond" w:hAnsi="Garamond" w:cs="Arial"/>
        </w:rPr>
        <w:t>C</w:t>
      </w:r>
      <w:r w:rsidR="003D0FAB" w:rsidRPr="00217328">
        <w:rPr>
          <w:rFonts w:ascii="Garamond" w:hAnsi="Garamond" w:cs="Arial"/>
        </w:rPr>
        <w:t xml:space="preserve">apital control </w:t>
      </w:r>
      <w:r w:rsidRPr="00217328">
        <w:rPr>
          <w:rFonts w:ascii="Garamond" w:hAnsi="Garamond" w:cs="Arial"/>
        </w:rPr>
        <w:t xml:space="preserve">is a </w:t>
      </w:r>
      <w:r w:rsidR="003D0FAB" w:rsidRPr="00217328">
        <w:rPr>
          <w:rFonts w:ascii="Garamond" w:hAnsi="Garamond" w:cs="Arial"/>
        </w:rPr>
        <w:t xml:space="preserve">dummy </w:t>
      </w:r>
      <w:r w:rsidRPr="00217328">
        <w:rPr>
          <w:rFonts w:ascii="Garamond" w:hAnsi="Garamond" w:cs="Arial"/>
        </w:rPr>
        <w:t xml:space="preserve">variable which </w:t>
      </w:r>
      <w:r w:rsidR="003D0FAB" w:rsidRPr="00217328">
        <w:rPr>
          <w:rFonts w:ascii="Garamond" w:hAnsi="Garamond" w:cs="Arial"/>
        </w:rPr>
        <w:t xml:space="preserve">takes the value one for the period of capital control and zero otherwise. </w:t>
      </w:r>
      <w:r w:rsidR="003D0FAB" w:rsidRPr="00217328">
        <w:rPr>
          <w:rFonts w:ascii="Garamond" w:hAnsi="Garamond" w:cs="Arial"/>
          <w:i/>
        </w:rPr>
        <w:t>A priori</w:t>
      </w:r>
      <w:r w:rsidR="003D0FAB" w:rsidRPr="00217328">
        <w:rPr>
          <w:rFonts w:ascii="Garamond" w:hAnsi="Garamond" w:cs="Arial"/>
        </w:rPr>
        <w:t xml:space="preserve">, </w:t>
      </w:r>
      <w:r w:rsidR="001276C5" w:rsidRPr="00217328">
        <w:rPr>
          <w:rFonts w:ascii="Garamond" w:hAnsi="Garamond" w:cs="Arial"/>
        </w:rPr>
        <w:t>bilateral exchange rate, real interest rates</w:t>
      </w:r>
      <w:r w:rsidR="003D0FAB" w:rsidRPr="00217328">
        <w:rPr>
          <w:rFonts w:ascii="Garamond" w:hAnsi="Garamond" w:cs="Arial"/>
        </w:rPr>
        <w:t xml:space="preserve">, </w:t>
      </w:r>
      <w:r w:rsidR="001276C5" w:rsidRPr="00217328">
        <w:rPr>
          <w:rFonts w:ascii="Garamond" w:hAnsi="Garamond" w:cs="Arial"/>
        </w:rPr>
        <w:t>infrastructure</w:t>
      </w:r>
      <w:r w:rsidR="003D0FAB" w:rsidRPr="00217328">
        <w:rPr>
          <w:rFonts w:ascii="Garamond" w:hAnsi="Garamond" w:cs="Arial"/>
        </w:rPr>
        <w:t xml:space="preserve">, and </w:t>
      </w:r>
      <w:r w:rsidR="001276C5" w:rsidRPr="00217328">
        <w:rPr>
          <w:rFonts w:ascii="Garamond" w:hAnsi="Garamond" w:cs="Arial"/>
        </w:rPr>
        <w:t>capital control</w:t>
      </w:r>
      <w:r w:rsidR="003D0FAB" w:rsidRPr="00217328">
        <w:rPr>
          <w:rFonts w:ascii="Garamond" w:hAnsi="Garamond" w:cs="Arial"/>
        </w:rPr>
        <w:t xml:space="preserve"> </w:t>
      </w:r>
      <w:r w:rsidR="001276C5" w:rsidRPr="00217328">
        <w:rPr>
          <w:rFonts w:ascii="Garamond" w:hAnsi="Garamond" w:cs="Arial"/>
        </w:rPr>
        <w:t>are expected to have</w:t>
      </w:r>
      <w:r w:rsidR="003D0FAB" w:rsidRPr="00217328">
        <w:rPr>
          <w:rFonts w:ascii="Garamond" w:hAnsi="Garamond" w:cs="Arial"/>
        </w:rPr>
        <w:t xml:space="preserve"> positive signs while</w:t>
      </w:r>
      <w:r w:rsidR="001276C5" w:rsidRPr="00217328">
        <w:rPr>
          <w:rFonts w:ascii="Garamond" w:hAnsi="Garamond" w:cs="Arial"/>
        </w:rPr>
        <w:t xml:space="preserve"> risk aversion, volatility and demand volatility</w:t>
      </w:r>
      <w:r w:rsidR="003D0FAB" w:rsidRPr="00217328">
        <w:rPr>
          <w:rFonts w:ascii="Garamond" w:hAnsi="Garamond" w:cs="Arial"/>
        </w:rPr>
        <w:t xml:space="preserve"> are all expected to be negatively signed.</w:t>
      </w:r>
    </w:p>
    <w:p w:rsidR="00E37829" w:rsidRPr="00217328" w:rsidRDefault="00E37829" w:rsidP="00432C32">
      <w:pPr>
        <w:spacing w:line="360" w:lineRule="auto"/>
        <w:jc w:val="both"/>
        <w:rPr>
          <w:rFonts w:ascii="Garamond" w:hAnsi="Garamond" w:cs="Arial"/>
        </w:rPr>
      </w:pPr>
    </w:p>
    <w:p w:rsidR="00445D73" w:rsidRPr="00217328" w:rsidRDefault="00445D73" w:rsidP="00432C32">
      <w:pPr>
        <w:spacing w:line="360" w:lineRule="auto"/>
        <w:jc w:val="both"/>
        <w:rPr>
          <w:rFonts w:ascii="Garamond" w:hAnsi="Garamond" w:cs="Arial"/>
          <w:b/>
          <w:color w:val="292526"/>
        </w:rPr>
      </w:pPr>
      <w:r w:rsidRPr="00217328">
        <w:rPr>
          <w:rFonts w:ascii="Garamond" w:hAnsi="Garamond" w:cs="Arial"/>
          <w:b/>
          <w:color w:val="292526"/>
        </w:rPr>
        <w:t xml:space="preserve">5. </w:t>
      </w:r>
      <w:r w:rsidR="000F4319" w:rsidRPr="00217328">
        <w:rPr>
          <w:rFonts w:ascii="Garamond" w:hAnsi="Garamond" w:cs="Arial"/>
          <w:b/>
          <w:color w:val="292526"/>
        </w:rPr>
        <w:t>Estimation Results</w:t>
      </w:r>
      <w:r w:rsidRPr="00217328">
        <w:rPr>
          <w:rFonts w:ascii="Garamond" w:hAnsi="Garamond" w:cs="Arial"/>
          <w:b/>
          <w:color w:val="292526"/>
        </w:rPr>
        <w:t xml:space="preserve"> </w:t>
      </w:r>
      <w:r w:rsidR="00CA7B3D">
        <w:rPr>
          <w:rFonts w:ascii="Garamond" w:hAnsi="Garamond" w:cs="Arial"/>
          <w:b/>
          <w:color w:val="292526"/>
        </w:rPr>
        <w:t>and Discussions</w:t>
      </w:r>
    </w:p>
    <w:p w:rsidR="001558F8" w:rsidRPr="00217328" w:rsidRDefault="001558F8" w:rsidP="00432C32">
      <w:pPr>
        <w:spacing w:line="360" w:lineRule="auto"/>
        <w:jc w:val="both"/>
        <w:rPr>
          <w:rFonts w:ascii="Garamond" w:hAnsi="Garamond"/>
          <w:sz w:val="23"/>
          <w:szCs w:val="23"/>
        </w:rPr>
      </w:pPr>
      <w:r w:rsidRPr="00217328">
        <w:rPr>
          <w:rFonts w:ascii="Garamond" w:hAnsi="Garamond" w:cs="Arial"/>
        </w:rPr>
        <w:t xml:space="preserve">The EGARCH models are estimated with backcasting and provision for the Bollerslev-Wooldridge heteroscedasticity consistent covariance. The results of the estimates are reported in </w:t>
      </w:r>
      <w:r w:rsidR="00A134DC" w:rsidRPr="00217328">
        <w:rPr>
          <w:rFonts w:ascii="Garamond" w:hAnsi="Garamond" w:cs="Arial"/>
        </w:rPr>
        <w:t xml:space="preserve">Table </w:t>
      </w:r>
      <w:r w:rsidR="007B4D27" w:rsidRPr="00217328">
        <w:rPr>
          <w:rFonts w:ascii="Garamond" w:hAnsi="Garamond" w:cs="Arial"/>
        </w:rPr>
        <w:t>6</w:t>
      </w:r>
      <w:r w:rsidRPr="00217328">
        <w:rPr>
          <w:rFonts w:ascii="Garamond" w:hAnsi="Garamond" w:cs="Arial"/>
        </w:rPr>
        <w:t xml:space="preserve">. </w:t>
      </w:r>
      <w:r w:rsidR="007B4D27" w:rsidRPr="00217328">
        <w:rPr>
          <w:rFonts w:ascii="Garamond" w:hAnsi="Garamond" w:cs="Arial"/>
        </w:rPr>
        <w:t xml:space="preserve">The diagnostic tests reveal that the results are robust based on </w:t>
      </w:r>
      <w:r w:rsidR="007B4D27" w:rsidRPr="00217328">
        <w:rPr>
          <w:rFonts w:ascii="Garamond" w:hAnsi="Garamond"/>
          <w:sz w:val="23"/>
          <w:szCs w:val="23"/>
        </w:rPr>
        <w:t xml:space="preserve">diagnostic tests on standardised residuals that show absence of ARCH effects and serial correlation. </w:t>
      </w:r>
      <w:r w:rsidR="00285C55" w:rsidRPr="00217328">
        <w:rPr>
          <w:rFonts w:ascii="Garamond" w:hAnsi="Garamond" w:cs="Arial"/>
        </w:rPr>
        <w:t>A very important factor</w:t>
      </w:r>
      <w:r w:rsidRPr="00217328">
        <w:rPr>
          <w:rFonts w:ascii="Garamond" w:hAnsi="Garamond" w:cs="Arial"/>
        </w:rPr>
        <w:t xml:space="preserve"> taken into consideration in </w:t>
      </w:r>
      <w:r w:rsidR="007F3E88" w:rsidRPr="00217328">
        <w:rPr>
          <w:rFonts w:ascii="Garamond" w:hAnsi="Garamond" w:cs="Arial"/>
        </w:rPr>
        <w:t>modelling</w:t>
      </w:r>
      <w:r w:rsidRPr="00217328">
        <w:rPr>
          <w:rFonts w:ascii="Garamond" w:hAnsi="Garamond" w:cs="Arial"/>
        </w:rPr>
        <w:t xml:space="preserve"> the volatility variable in each country are the major shifts experienced by these countries in their exchange rate arrangements and policies. For instance, all the countries in the CFA zone devalued their currency by 100 per cent in 1994. In addition, most other countries undertook major devaluation in the late </w:t>
      </w:r>
      <w:r w:rsidR="000F4319" w:rsidRPr="00217328">
        <w:rPr>
          <w:rFonts w:ascii="Garamond" w:hAnsi="Garamond" w:cs="Arial"/>
        </w:rPr>
        <w:lastRenderedPageBreak/>
        <w:t>1980s and early 1990s in pursui</w:t>
      </w:r>
      <w:r w:rsidRPr="00217328">
        <w:rPr>
          <w:rFonts w:ascii="Garamond" w:hAnsi="Garamond" w:cs="Arial"/>
        </w:rPr>
        <w:t>t of the Structural Adjustment Programme</w:t>
      </w:r>
      <w:r w:rsidR="000F4319" w:rsidRPr="00217328">
        <w:rPr>
          <w:rFonts w:ascii="Garamond" w:hAnsi="Garamond" w:cs="Arial"/>
        </w:rPr>
        <w:t xml:space="preserve"> (SAP)</w:t>
      </w:r>
      <w:r w:rsidRPr="00217328">
        <w:rPr>
          <w:rFonts w:ascii="Garamond" w:hAnsi="Garamond" w:cs="Arial"/>
        </w:rPr>
        <w:t xml:space="preserve">. These effects are </w:t>
      </w:r>
      <w:r w:rsidR="007F3E88" w:rsidRPr="00217328">
        <w:rPr>
          <w:rFonts w:ascii="Garamond" w:hAnsi="Garamond" w:cs="Arial"/>
        </w:rPr>
        <w:t xml:space="preserve">taking into consideration in modelling exchange rate </w:t>
      </w:r>
      <w:r w:rsidRPr="00217328">
        <w:rPr>
          <w:rFonts w:ascii="Garamond" w:hAnsi="Garamond" w:cs="Arial"/>
        </w:rPr>
        <w:t xml:space="preserve">volatility </w:t>
      </w:r>
      <w:r w:rsidR="0008149A" w:rsidRPr="00217328">
        <w:rPr>
          <w:rFonts w:ascii="Garamond" w:hAnsi="Garamond" w:cs="Arial"/>
        </w:rPr>
        <w:t>for these countries</w:t>
      </w:r>
      <w:r w:rsidRPr="00217328">
        <w:rPr>
          <w:rFonts w:ascii="Garamond" w:hAnsi="Garamond" w:cs="Arial"/>
        </w:rPr>
        <w:t xml:space="preserve">. </w:t>
      </w:r>
    </w:p>
    <w:p w:rsidR="00634889" w:rsidRDefault="00634889" w:rsidP="00432C32">
      <w:pPr>
        <w:spacing w:line="360" w:lineRule="auto"/>
        <w:jc w:val="both"/>
        <w:rPr>
          <w:rFonts w:ascii="Garamond" w:hAnsi="Garamond" w:cs="Arial"/>
        </w:rPr>
      </w:pPr>
    </w:p>
    <w:p w:rsidR="007F3E88" w:rsidRPr="00217328" w:rsidRDefault="007F3E88" w:rsidP="00432C32">
      <w:pPr>
        <w:spacing w:line="360" w:lineRule="auto"/>
        <w:jc w:val="both"/>
        <w:rPr>
          <w:rFonts w:ascii="Garamond" w:hAnsi="Garamond"/>
          <w:lang w:val="en-US"/>
        </w:rPr>
      </w:pPr>
      <w:r w:rsidRPr="00217328">
        <w:rPr>
          <w:rFonts w:ascii="Garamond" w:hAnsi="Garamond"/>
          <w:lang w:val="en-US"/>
        </w:rPr>
        <w:t>The patterns of exchange rate volatility in the countries are presented in Figures 6.1 to 6.9. The</w:t>
      </w:r>
      <w:r w:rsidR="004059AD" w:rsidRPr="00217328">
        <w:rPr>
          <w:rFonts w:ascii="Garamond" w:hAnsi="Garamond"/>
          <w:lang w:val="en-US"/>
        </w:rPr>
        <w:t>y</w:t>
      </w:r>
      <w:r w:rsidRPr="00217328">
        <w:rPr>
          <w:rFonts w:ascii="Garamond" w:hAnsi="Garamond"/>
          <w:lang w:val="en-US"/>
        </w:rPr>
        <w:t xml:space="preserve"> show varying degrees of </w:t>
      </w:r>
      <w:r w:rsidR="004059AD" w:rsidRPr="00217328">
        <w:rPr>
          <w:rFonts w:ascii="Garamond" w:hAnsi="Garamond"/>
          <w:lang w:val="en-US"/>
        </w:rPr>
        <w:t>conditional</w:t>
      </w:r>
      <w:r w:rsidRPr="00217328">
        <w:rPr>
          <w:rFonts w:ascii="Garamond" w:hAnsi="Garamond"/>
          <w:lang w:val="en-US"/>
        </w:rPr>
        <w:t xml:space="preserve"> volatility across the countries</w:t>
      </w:r>
      <w:r w:rsidR="004059AD" w:rsidRPr="00217328">
        <w:rPr>
          <w:rFonts w:ascii="Garamond" w:hAnsi="Garamond"/>
          <w:lang w:val="en-US"/>
        </w:rPr>
        <w:t xml:space="preserve"> and </w:t>
      </w:r>
      <w:r w:rsidR="004059AD" w:rsidRPr="00217328">
        <w:rPr>
          <w:rFonts w:ascii="Garamond" w:hAnsi="Garamond"/>
          <w:sz w:val="23"/>
          <w:szCs w:val="23"/>
        </w:rPr>
        <w:t xml:space="preserve">across the exchange rates regimes, with differing </w:t>
      </w:r>
      <w:r w:rsidR="004059AD" w:rsidRPr="00217328">
        <w:rPr>
          <w:rFonts w:ascii="Garamond" w:hAnsi="Garamond"/>
        </w:rPr>
        <w:t>reaction to shocks depending on the nature of such shock</w:t>
      </w:r>
      <w:r w:rsidRPr="00217328">
        <w:rPr>
          <w:rFonts w:ascii="Garamond" w:hAnsi="Garamond"/>
          <w:lang w:val="en-US"/>
        </w:rPr>
        <w:t xml:space="preserve">. The strong impact of the major devaluation of the nominal rates of the CFA franc clearly had a very strong impact on real exchange rate volatility in the CFA countries. Similarly, the impact on volatility of the major devaluation undertaken in </w:t>
      </w:r>
      <w:smartTag w:uri="urn:schemas-microsoft-com:office:smarttags" w:element="place">
        <w:smartTag w:uri="urn:schemas-microsoft-com:office:smarttags" w:element="country-region">
          <w:r w:rsidRPr="00217328">
            <w:rPr>
              <w:rFonts w:ascii="Garamond" w:hAnsi="Garamond"/>
              <w:lang w:val="en-US"/>
            </w:rPr>
            <w:t>Nigeria</w:t>
          </w:r>
        </w:smartTag>
      </w:smartTag>
      <w:r w:rsidRPr="00217328">
        <w:rPr>
          <w:rFonts w:ascii="Garamond" w:hAnsi="Garamond"/>
          <w:lang w:val="en-US"/>
        </w:rPr>
        <w:t xml:space="preserve"> with the adoption of the SAP in the mid-1980s is also clearly evident. The spikes generated by exchange rate volatility are well pronounced in all the countries except </w:t>
      </w:r>
      <w:smartTag w:uri="urn:schemas-microsoft-com:office:smarttags" w:element="place">
        <w:smartTag w:uri="urn:schemas-microsoft-com:office:smarttags" w:element="country-region">
          <w:r w:rsidRPr="00217328">
            <w:rPr>
              <w:rFonts w:ascii="Garamond" w:hAnsi="Garamond"/>
              <w:lang w:val="en-US"/>
            </w:rPr>
            <w:t>Nigeria</w:t>
          </w:r>
        </w:smartTag>
      </w:smartTag>
      <w:r w:rsidRPr="00217328">
        <w:rPr>
          <w:rFonts w:ascii="Garamond" w:hAnsi="Garamond"/>
          <w:lang w:val="en-US"/>
        </w:rPr>
        <w:t xml:space="preserve">. Another important observation about the pattern of volatility is that real effective exchange rate volatility is a persistent feature of all the selected countries throughout the period under review. This, however, became more pronounced from the 1980s onward, when most of these countries moved from the fixed exchange rate system to the flexible one. This is true even for the CFA countries operating pegged exchange rate system. </w:t>
      </w:r>
    </w:p>
    <w:p w:rsidR="00634889" w:rsidRDefault="00634889" w:rsidP="00432C32">
      <w:pPr>
        <w:spacing w:line="360" w:lineRule="auto"/>
        <w:jc w:val="both"/>
        <w:rPr>
          <w:rFonts w:ascii="Garamond" w:hAnsi="Garamond" w:cs="Arial"/>
        </w:rPr>
      </w:pPr>
    </w:p>
    <w:p w:rsidR="00E37829" w:rsidRDefault="00216260" w:rsidP="00432C32">
      <w:pPr>
        <w:spacing w:line="360" w:lineRule="auto"/>
        <w:jc w:val="both"/>
        <w:rPr>
          <w:rFonts w:ascii="Garamond" w:hAnsi="Garamond"/>
        </w:rPr>
      </w:pPr>
      <w:r w:rsidRPr="00634889">
        <w:rPr>
          <w:rFonts w:ascii="Garamond" w:hAnsi="Garamond" w:cs="Arial"/>
        </w:rPr>
        <w:t>An important observation about the</w:t>
      </w:r>
      <w:r w:rsidR="001558F8" w:rsidRPr="00634889">
        <w:rPr>
          <w:rFonts w:ascii="Garamond" w:hAnsi="Garamond" w:cs="Arial"/>
        </w:rPr>
        <w:t xml:space="preserve"> results is that all the estimated mean equations have very high statistical significance for all the countries. </w:t>
      </w:r>
      <w:r w:rsidRPr="00634889">
        <w:rPr>
          <w:rFonts w:ascii="Garamond" w:hAnsi="Garamond" w:cs="Arial"/>
        </w:rPr>
        <w:t xml:space="preserve">Furthermore, </w:t>
      </w:r>
      <w:r w:rsidR="001558F8" w:rsidRPr="00634889">
        <w:rPr>
          <w:rFonts w:ascii="Garamond" w:hAnsi="Garamond" w:cs="Arial"/>
        </w:rPr>
        <w:t>the variance equation</w:t>
      </w:r>
      <w:r w:rsidRPr="00634889">
        <w:rPr>
          <w:rFonts w:ascii="Garamond" w:hAnsi="Garamond" w:cs="Arial"/>
        </w:rPr>
        <w:t>s</w:t>
      </w:r>
      <w:r w:rsidR="001558F8" w:rsidRPr="00634889">
        <w:rPr>
          <w:rFonts w:ascii="Garamond" w:hAnsi="Garamond" w:cs="Arial"/>
        </w:rPr>
        <w:t xml:space="preserve"> reveal that the estimated coefficients for the EGARCH model are statistically significant for all the countries. </w:t>
      </w:r>
      <w:r w:rsidRPr="00634889">
        <w:rPr>
          <w:rFonts w:ascii="Garamond" w:hAnsi="Garamond" w:cs="Arial"/>
        </w:rPr>
        <w:t xml:space="preserve">These suggest that the real effective exchange rates of the selected countries were actually volatile during the period </w:t>
      </w:r>
      <w:r w:rsidR="004059AD" w:rsidRPr="00634889">
        <w:rPr>
          <w:rFonts w:ascii="Garamond" w:hAnsi="Garamond" w:cs="Arial"/>
        </w:rPr>
        <w:t>examined</w:t>
      </w:r>
      <w:r w:rsidRPr="00634889">
        <w:rPr>
          <w:rFonts w:ascii="Garamond" w:hAnsi="Garamond" w:cs="Arial"/>
        </w:rPr>
        <w:t>.</w:t>
      </w:r>
      <w:r w:rsidR="00CA6C2C" w:rsidRPr="00634889">
        <w:rPr>
          <w:rFonts w:ascii="Garamond" w:hAnsi="Garamond" w:cs="Arial"/>
        </w:rPr>
        <w:t xml:space="preserve"> It is also interesting to note that the </w:t>
      </w:r>
      <w:r w:rsidR="00CA6C2C" w:rsidRPr="00634889">
        <w:rPr>
          <w:rFonts w:ascii="Garamond" w:hAnsi="Garamond"/>
        </w:rPr>
        <w:t xml:space="preserve">EGARCH model identifies the presence of asymmetry for all the countries, suggesting that this is an appropriate technique for estimating real exchange rate volatility for these countries. </w:t>
      </w:r>
    </w:p>
    <w:p w:rsidR="00AC6F2B" w:rsidRDefault="00AC6F2B" w:rsidP="00432C32">
      <w:pPr>
        <w:spacing w:line="360" w:lineRule="auto"/>
        <w:jc w:val="both"/>
        <w:rPr>
          <w:rFonts w:ascii="Garamond" w:hAnsi="Garamond"/>
        </w:rPr>
      </w:pPr>
    </w:p>
    <w:p w:rsidR="00AC6F2B" w:rsidRDefault="00AC6F2B" w:rsidP="00432C32">
      <w:pPr>
        <w:spacing w:line="360" w:lineRule="auto"/>
        <w:jc w:val="both"/>
        <w:rPr>
          <w:rFonts w:ascii="Garamond" w:hAnsi="Garamond"/>
        </w:rPr>
      </w:pPr>
    </w:p>
    <w:p w:rsidR="00AC6F2B" w:rsidRDefault="00AC6F2B" w:rsidP="00432C32">
      <w:pPr>
        <w:spacing w:line="360" w:lineRule="auto"/>
        <w:jc w:val="both"/>
        <w:rPr>
          <w:rFonts w:ascii="Garamond" w:hAnsi="Garamond"/>
        </w:rPr>
      </w:pPr>
    </w:p>
    <w:p w:rsidR="00AC6F2B" w:rsidRDefault="00AC6F2B" w:rsidP="00432C32">
      <w:pPr>
        <w:spacing w:line="360" w:lineRule="auto"/>
        <w:jc w:val="both"/>
        <w:rPr>
          <w:rFonts w:ascii="Garamond" w:hAnsi="Garamond"/>
        </w:rPr>
      </w:pPr>
    </w:p>
    <w:p w:rsidR="00AC6F2B" w:rsidRDefault="00AC6F2B" w:rsidP="00432C32">
      <w:pPr>
        <w:spacing w:line="360" w:lineRule="auto"/>
        <w:jc w:val="both"/>
        <w:rPr>
          <w:rFonts w:ascii="Garamond" w:hAnsi="Garamond"/>
        </w:rPr>
      </w:pPr>
    </w:p>
    <w:p w:rsidR="00AC6F2B" w:rsidRDefault="00AC6F2B" w:rsidP="00432C32">
      <w:pPr>
        <w:spacing w:line="360" w:lineRule="auto"/>
        <w:jc w:val="both"/>
        <w:rPr>
          <w:rFonts w:ascii="Garamond" w:hAnsi="Garamond"/>
        </w:rPr>
      </w:pPr>
    </w:p>
    <w:p w:rsidR="00AC6F2B" w:rsidRDefault="00AC6F2B" w:rsidP="00432C32">
      <w:pPr>
        <w:spacing w:line="360" w:lineRule="auto"/>
        <w:jc w:val="both"/>
        <w:rPr>
          <w:rFonts w:ascii="Garamond" w:hAnsi="Garamond"/>
        </w:rPr>
      </w:pPr>
    </w:p>
    <w:p w:rsidR="00AC6F2B" w:rsidRPr="00634889" w:rsidRDefault="00AC6F2B" w:rsidP="00432C32">
      <w:pPr>
        <w:spacing w:line="360" w:lineRule="auto"/>
        <w:jc w:val="both"/>
        <w:rPr>
          <w:rFonts w:ascii="Garamond" w:hAnsi="Garamond" w:cs="Arial"/>
        </w:rPr>
      </w:pPr>
    </w:p>
    <w:p w:rsidR="00217328" w:rsidRDefault="00217328" w:rsidP="00432C32">
      <w:pPr>
        <w:spacing w:line="360" w:lineRule="auto"/>
        <w:rPr>
          <w:rFonts w:ascii="Garamond" w:hAnsi="Garamond"/>
          <w:b/>
        </w:rPr>
      </w:pPr>
    </w:p>
    <w:p w:rsidR="008B183B" w:rsidRPr="00217328" w:rsidRDefault="007B4D27" w:rsidP="00432C32">
      <w:pPr>
        <w:spacing w:line="360" w:lineRule="auto"/>
        <w:rPr>
          <w:rFonts w:ascii="Garamond" w:hAnsi="Garamond"/>
          <w:b/>
        </w:rPr>
      </w:pPr>
      <w:r w:rsidRPr="00217328">
        <w:rPr>
          <w:rFonts w:ascii="Garamond" w:hAnsi="Garamond"/>
          <w:b/>
        </w:rPr>
        <w:lastRenderedPageBreak/>
        <w:t>Table 5</w:t>
      </w:r>
      <w:r w:rsidR="008B183B" w:rsidRPr="00217328">
        <w:rPr>
          <w:rFonts w:ascii="Garamond" w:hAnsi="Garamond"/>
          <w:b/>
        </w:rPr>
        <w:t>: The Unit Root Test Results for Selected Variables</w:t>
      </w:r>
    </w:p>
    <w:tbl>
      <w:tblPr>
        <w:tblW w:w="48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4"/>
        <w:gridCol w:w="1396"/>
        <w:gridCol w:w="949"/>
        <w:gridCol w:w="1282"/>
        <w:gridCol w:w="950"/>
        <w:gridCol w:w="1282"/>
        <w:gridCol w:w="1369"/>
      </w:tblGrid>
      <w:tr w:rsidR="008B183B" w:rsidRPr="00217328" w:rsidTr="00593CF9">
        <w:trPr>
          <w:trHeight w:val="360"/>
        </w:trPr>
        <w:tc>
          <w:tcPr>
            <w:tcW w:w="824" w:type="pct"/>
            <w:vMerge w:val="restart"/>
          </w:tcPr>
          <w:p w:rsidR="008B183B" w:rsidRPr="00217328" w:rsidRDefault="008B183B" w:rsidP="007A1404">
            <w:pPr>
              <w:spacing w:line="360" w:lineRule="auto"/>
              <w:rPr>
                <w:rFonts w:ascii="Garamond" w:eastAsia="Calibri" w:hAnsi="Garamond"/>
                <w:b/>
              </w:rPr>
            </w:pPr>
            <w:r w:rsidRPr="00217328">
              <w:rPr>
                <w:rFonts w:ascii="Garamond" w:eastAsia="Calibri" w:hAnsi="Garamond"/>
                <w:b/>
              </w:rPr>
              <w:t>COUNTRY</w:t>
            </w:r>
          </w:p>
        </w:tc>
        <w:tc>
          <w:tcPr>
            <w:tcW w:w="809" w:type="pct"/>
            <w:vMerge w:val="restart"/>
          </w:tcPr>
          <w:p w:rsidR="008B183B" w:rsidRPr="00217328" w:rsidRDefault="008B183B" w:rsidP="007A1404">
            <w:pPr>
              <w:spacing w:line="360" w:lineRule="auto"/>
              <w:rPr>
                <w:rFonts w:ascii="Garamond" w:eastAsia="Calibri" w:hAnsi="Garamond"/>
                <w:b/>
              </w:rPr>
            </w:pPr>
            <w:r w:rsidRPr="00217328">
              <w:rPr>
                <w:rFonts w:ascii="Garamond" w:eastAsia="Calibri" w:hAnsi="Garamond"/>
                <w:b/>
              </w:rPr>
              <w:t>Variable</w:t>
            </w:r>
          </w:p>
          <w:p w:rsidR="008B183B" w:rsidRPr="00217328" w:rsidRDefault="008B183B" w:rsidP="007A1404">
            <w:pPr>
              <w:spacing w:line="360" w:lineRule="auto"/>
              <w:rPr>
                <w:rFonts w:ascii="Garamond" w:eastAsia="Calibri" w:hAnsi="Garamond"/>
                <w:b/>
              </w:rPr>
            </w:pPr>
          </w:p>
        </w:tc>
        <w:tc>
          <w:tcPr>
            <w:tcW w:w="1290" w:type="pct"/>
            <w:gridSpan w:val="2"/>
            <w:tcBorders>
              <w:bottom w:val="single" w:sz="4" w:space="0" w:color="auto"/>
            </w:tcBorders>
          </w:tcPr>
          <w:p w:rsidR="008B183B" w:rsidRPr="00217328" w:rsidRDefault="008B183B" w:rsidP="007A1404">
            <w:pPr>
              <w:spacing w:line="360" w:lineRule="auto"/>
              <w:rPr>
                <w:rFonts w:ascii="Garamond" w:eastAsia="Calibri" w:hAnsi="Garamond"/>
                <w:b/>
              </w:rPr>
            </w:pPr>
            <w:r w:rsidRPr="00217328">
              <w:rPr>
                <w:rFonts w:ascii="Garamond" w:eastAsia="Calibri" w:hAnsi="Garamond"/>
                <w:b/>
              </w:rPr>
              <w:t>Augmented Dickey-Fuller Statistic</w:t>
            </w:r>
          </w:p>
        </w:tc>
        <w:tc>
          <w:tcPr>
            <w:tcW w:w="1290" w:type="pct"/>
            <w:gridSpan w:val="2"/>
            <w:tcBorders>
              <w:bottom w:val="single" w:sz="4" w:space="0" w:color="auto"/>
            </w:tcBorders>
          </w:tcPr>
          <w:p w:rsidR="008B183B" w:rsidRPr="00217328" w:rsidRDefault="008B183B" w:rsidP="007A1404">
            <w:pPr>
              <w:spacing w:line="360" w:lineRule="auto"/>
              <w:rPr>
                <w:rFonts w:ascii="Garamond" w:eastAsia="Calibri" w:hAnsi="Garamond"/>
                <w:b/>
              </w:rPr>
            </w:pPr>
            <w:r w:rsidRPr="00217328">
              <w:rPr>
                <w:rFonts w:ascii="Garamond" w:eastAsia="Calibri" w:hAnsi="Garamond"/>
                <w:b/>
              </w:rPr>
              <w:t>Phillips-Perron</w:t>
            </w:r>
          </w:p>
        </w:tc>
        <w:tc>
          <w:tcPr>
            <w:tcW w:w="786" w:type="pct"/>
            <w:vMerge w:val="restart"/>
          </w:tcPr>
          <w:p w:rsidR="008B183B" w:rsidRPr="00217328" w:rsidRDefault="008B183B" w:rsidP="007A1404">
            <w:pPr>
              <w:spacing w:line="360" w:lineRule="auto"/>
              <w:rPr>
                <w:rFonts w:ascii="Garamond" w:eastAsia="Calibri" w:hAnsi="Garamond"/>
                <w:b/>
              </w:rPr>
            </w:pPr>
            <w:r w:rsidRPr="00217328">
              <w:rPr>
                <w:rFonts w:ascii="Garamond" w:eastAsia="Calibri" w:hAnsi="Garamond"/>
                <w:b/>
              </w:rPr>
              <w:t xml:space="preserve">Conclusion </w:t>
            </w:r>
          </w:p>
        </w:tc>
      </w:tr>
      <w:tr w:rsidR="008B183B" w:rsidRPr="00217328" w:rsidTr="00593CF9">
        <w:trPr>
          <w:trHeight w:val="465"/>
        </w:trPr>
        <w:tc>
          <w:tcPr>
            <w:tcW w:w="824" w:type="pct"/>
            <w:vMerge/>
          </w:tcPr>
          <w:p w:rsidR="008B183B" w:rsidRPr="00217328" w:rsidRDefault="008B183B" w:rsidP="007A1404">
            <w:pPr>
              <w:spacing w:line="360" w:lineRule="auto"/>
              <w:rPr>
                <w:rFonts w:ascii="Garamond" w:eastAsia="Calibri" w:hAnsi="Garamond"/>
                <w:b/>
              </w:rPr>
            </w:pPr>
          </w:p>
        </w:tc>
        <w:tc>
          <w:tcPr>
            <w:tcW w:w="809" w:type="pct"/>
            <w:vMerge/>
            <w:tcBorders>
              <w:bottom w:val="single" w:sz="4" w:space="0" w:color="auto"/>
            </w:tcBorders>
          </w:tcPr>
          <w:p w:rsidR="008B183B" w:rsidRPr="00217328" w:rsidRDefault="008B183B" w:rsidP="007A1404">
            <w:pPr>
              <w:spacing w:line="360" w:lineRule="auto"/>
              <w:rPr>
                <w:rFonts w:ascii="Garamond" w:eastAsia="Calibri" w:hAnsi="Garamond"/>
                <w:b/>
              </w:rPr>
            </w:pPr>
          </w:p>
        </w:tc>
        <w:tc>
          <w:tcPr>
            <w:tcW w:w="551" w:type="pct"/>
            <w:tcBorders>
              <w:top w:val="single" w:sz="4" w:space="0" w:color="auto"/>
              <w:bottom w:val="single" w:sz="4" w:space="0" w:color="auto"/>
            </w:tcBorders>
          </w:tcPr>
          <w:p w:rsidR="008B183B" w:rsidRPr="00217328" w:rsidRDefault="008B183B" w:rsidP="007A1404">
            <w:pPr>
              <w:spacing w:line="360" w:lineRule="auto"/>
              <w:rPr>
                <w:rFonts w:ascii="Garamond" w:eastAsia="Calibri" w:hAnsi="Garamond"/>
                <w:b/>
              </w:rPr>
            </w:pPr>
            <w:r w:rsidRPr="00217328">
              <w:rPr>
                <w:rFonts w:ascii="Garamond" w:eastAsia="Calibri" w:hAnsi="Garamond"/>
                <w:b/>
              </w:rPr>
              <w:t>Level</w:t>
            </w:r>
          </w:p>
        </w:tc>
        <w:tc>
          <w:tcPr>
            <w:tcW w:w="739" w:type="pct"/>
            <w:tcBorders>
              <w:top w:val="single" w:sz="4" w:space="0" w:color="auto"/>
              <w:bottom w:val="single" w:sz="4" w:space="0" w:color="auto"/>
            </w:tcBorders>
          </w:tcPr>
          <w:p w:rsidR="008B183B" w:rsidRPr="00217328" w:rsidRDefault="008B183B" w:rsidP="007A1404">
            <w:pPr>
              <w:spacing w:line="360" w:lineRule="auto"/>
              <w:rPr>
                <w:rFonts w:ascii="Garamond" w:eastAsia="Calibri" w:hAnsi="Garamond"/>
                <w:b/>
              </w:rPr>
            </w:pPr>
            <w:r w:rsidRPr="00217328">
              <w:rPr>
                <w:rFonts w:ascii="Garamond" w:eastAsia="Calibri" w:hAnsi="Garamond"/>
                <w:b/>
              </w:rPr>
              <w:t>First Difference</w:t>
            </w:r>
          </w:p>
        </w:tc>
        <w:tc>
          <w:tcPr>
            <w:tcW w:w="551" w:type="pct"/>
            <w:tcBorders>
              <w:top w:val="single" w:sz="4" w:space="0" w:color="auto"/>
              <w:bottom w:val="single" w:sz="4" w:space="0" w:color="auto"/>
            </w:tcBorders>
          </w:tcPr>
          <w:p w:rsidR="008B183B" w:rsidRPr="00217328" w:rsidRDefault="008B183B" w:rsidP="007A1404">
            <w:pPr>
              <w:spacing w:line="360" w:lineRule="auto"/>
              <w:rPr>
                <w:rFonts w:ascii="Garamond" w:eastAsia="Calibri" w:hAnsi="Garamond"/>
                <w:b/>
              </w:rPr>
            </w:pPr>
            <w:r w:rsidRPr="00217328">
              <w:rPr>
                <w:rFonts w:ascii="Garamond" w:eastAsia="Calibri" w:hAnsi="Garamond"/>
                <w:b/>
              </w:rPr>
              <w:t>Level</w:t>
            </w:r>
          </w:p>
        </w:tc>
        <w:tc>
          <w:tcPr>
            <w:tcW w:w="739" w:type="pct"/>
            <w:tcBorders>
              <w:top w:val="single" w:sz="4" w:space="0" w:color="auto"/>
              <w:bottom w:val="single" w:sz="4" w:space="0" w:color="auto"/>
            </w:tcBorders>
          </w:tcPr>
          <w:p w:rsidR="008B183B" w:rsidRPr="00217328" w:rsidRDefault="008B183B" w:rsidP="007A1404">
            <w:pPr>
              <w:spacing w:line="360" w:lineRule="auto"/>
              <w:rPr>
                <w:rFonts w:ascii="Garamond" w:eastAsia="Calibri" w:hAnsi="Garamond"/>
                <w:b/>
              </w:rPr>
            </w:pPr>
            <w:r w:rsidRPr="00217328">
              <w:rPr>
                <w:rFonts w:ascii="Garamond" w:eastAsia="Calibri" w:hAnsi="Garamond"/>
                <w:b/>
              </w:rPr>
              <w:t>First Difference</w:t>
            </w:r>
          </w:p>
        </w:tc>
        <w:tc>
          <w:tcPr>
            <w:tcW w:w="786" w:type="pct"/>
            <w:vMerge/>
            <w:tcBorders>
              <w:bottom w:val="single" w:sz="4" w:space="0" w:color="auto"/>
            </w:tcBorders>
          </w:tcPr>
          <w:p w:rsidR="008B183B" w:rsidRPr="00217328" w:rsidRDefault="008B183B" w:rsidP="007A1404">
            <w:pPr>
              <w:spacing w:line="360" w:lineRule="auto"/>
              <w:rPr>
                <w:rFonts w:ascii="Garamond" w:eastAsia="Calibri" w:hAnsi="Garamond"/>
                <w:b/>
              </w:rPr>
            </w:pPr>
          </w:p>
        </w:tc>
      </w:tr>
      <w:tr w:rsidR="008B183B" w:rsidRPr="00217328" w:rsidTr="00593CF9">
        <w:trPr>
          <w:trHeight w:val="300"/>
        </w:trPr>
        <w:tc>
          <w:tcPr>
            <w:tcW w:w="824" w:type="pct"/>
            <w:vMerge w:val="restart"/>
          </w:tcPr>
          <w:p w:rsidR="008B183B" w:rsidRPr="00217328" w:rsidRDefault="008B183B" w:rsidP="007A1404">
            <w:pPr>
              <w:spacing w:line="360" w:lineRule="auto"/>
              <w:rPr>
                <w:rFonts w:ascii="Garamond" w:eastAsia="Calibri" w:hAnsi="Garamond"/>
                <w:b/>
              </w:rPr>
            </w:pPr>
            <w:r w:rsidRPr="00217328">
              <w:rPr>
                <w:rFonts w:ascii="Garamond" w:eastAsia="Calibri" w:hAnsi="Garamond"/>
                <w:b/>
              </w:rPr>
              <w:t>Cameroon</w:t>
            </w:r>
          </w:p>
        </w:tc>
        <w:tc>
          <w:tcPr>
            <w:tcW w:w="80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Volatility</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-4.523</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-5.724</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-4.432</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-7.457</w:t>
            </w:r>
          </w:p>
        </w:tc>
        <w:tc>
          <w:tcPr>
            <w:tcW w:w="786"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I(0)</w:t>
            </w:r>
          </w:p>
        </w:tc>
      </w:tr>
      <w:tr w:rsidR="008B183B" w:rsidRPr="00217328" w:rsidTr="00593CF9">
        <w:trPr>
          <w:trHeight w:val="255"/>
        </w:trPr>
        <w:tc>
          <w:tcPr>
            <w:tcW w:w="824" w:type="pct"/>
            <w:vMerge/>
          </w:tcPr>
          <w:p w:rsidR="008B183B" w:rsidRPr="00217328" w:rsidRDefault="008B183B" w:rsidP="007A1404">
            <w:pPr>
              <w:spacing w:line="360" w:lineRule="auto"/>
              <w:rPr>
                <w:rFonts w:ascii="Garamond" w:eastAsia="Calibri" w:hAnsi="Garamond"/>
                <w:b/>
              </w:rPr>
            </w:pPr>
          </w:p>
        </w:tc>
        <w:tc>
          <w:tcPr>
            <w:tcW w:w="80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FDI</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-1.762</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-11.307</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-4.757</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-23.417</w:t>
            </w:r>
          </w:p>
        </w:tc>
        <w:tc>
          <w:tcPr>
            <w:tcW w:w="786"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I(1)</w:t>
            </w:r>
          </w:p>
        </w:tc>
      </w:tr>
      <w:tr w:rsidR="008B183B" w:rsidRPr="00217328" w:rsidTr="00593CF9">
        <w:trPr>
          <w:trHeight w:val="405"/>
        </w:trPr>
        <w:tc>
          <w:tcPr>
            <w:tcW w:w="824" w:type="pct"/>
            <w:vMerge w:val="restart"/>
          </w:tcPr>
          <w:p w:rsidR="008B183B" w:rsidRPr="00217328" w:rsidRDefault="008B183B" w:rsidP="007A1404">
            <w:pPr>
              <w:spacing w:line="360" w:lineRule="auto"/>
              <w:rPr>
                <w:rFonts w:ascii="Garamond" w:eastAsia="Calibri" w:hAnsi="Garamond"/>
                <w:b/>
              </w:rPr>
            </w:pPr>
            <w:r w:rsidRPr="00217328">
              <w:rPr>
                <w:rFonts w:ascii="Garamond" w:eastAsia="Calibri" w:hAnsi="Garamond"/>
                <w:b/>
              </w:rPr>
              <w:t>Central African Republic</w:t>
            </w:r>
          </w:p>
        </w:tc>
        <w:tc>
          <w:tcPr>
            <w:tcW w:w="80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Volatility</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-4.381</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-8.984</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-4.209</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-12.645</w:t>
            </w:r>
          </w:p>
        </w:tc>
        <w:tc>
          <w:tcPr>
            <w:tcW w:w="786"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I(0)</w:t>
            </w:r>
          </w:p>
        </w:tc>
      </w:tr>
      <w:tr w:rsidR="008B183B" w:rsidRPr="00217328" w:rsidTr="00593CF9">
        <w:trPr>
          <w:trHeight w:val="420"/>
        </w:trPr>
        <w:tc>
          <w:tcPr>
            <w:tcW w:w="824" w:type="pct"/>
            <w:vMerge/>
          </w:tcPr>
          <w:p w:rsidR="008B183B" w:rsidRPr="00217328" w:rsidRDefault="008B183B" w:rsidP="007A1404">
            <w:pPr>
              <w:spacing w:line="360" w:lineRule="auto"/>
              <w:rPr>
                <w:rFonts w:ascii="Garamond" w:eastAsia="Calibri" w:hAnsi="Garamond"/>
                <w:b/>
              </w:rPr>
            </w:pPr>
          </w:p>
        </w:tc>
        <w:tc>
          <w:tcPr>
            <w:tcW w:w="80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FDI</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-2.081</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-6.822</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-2.081</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-7.151</w:t>
            </w:r>
          </w:p>
        </w:tc>
        <w:tc>
          <w:tcPr>
            <w:tcW w:w="786"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I(1)</w:t>
            </w:r>
          </w:p>
        </w:tc>
      </w:tr>
      <w:tr w:rsidR="008B183B" w:rsidRPr="00217328" w:rsidTr="00593CF9">
        <w:trPr>
          <w:trHeight w:val="375"/>
        </w:trPr>
        <w:tc>
          <w:tcPr>
            <w:tcW w:w="824" w:type="pct"/>
            <w:vMerge w:val="restart"/>
          </w:tcPr>
          <w:p w:rsidR="008B183B" w:rsidRPr="00217328" w:rsidRDefault="008B183B" w:rsidP="007A1404">
            <w:pPr>
              <w:spacing w:line="360" w:lineRule="auto"/>
              <w:rPr>
                <w:rFonts w:ascii="Garamond" w:eastAsia="Calibri" w:hAnsi="Garamond"/>
                <w:b/>
              </w:rPr>
            </w:pPr>
            <w:r w:rsidRPr="00217328">
              <w:rPr>
                <w:rFonts w:ascii="Garamond" w:eastAsia="Calibri" w:hAnsi="Garamond"/>
                <w:b/>
              </w:rPr>
              <w:t>Côte d’Ivoire</w:t>
            </w:r>
          </w:p>
        </w:tc>
        <w:tc>
          <w:tcPr>
            <w:tcW w:w="80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Volatility</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-2.812</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-4.102</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-4.769</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-9.328</w:t>
            </w:r>
          </w:p>
        </w:tc>
        <w:tc>
          <w:tcPr>
            <w:tcW w:w="786"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I(0)</w:t>
            </w:r>
          </w:p>
        </w:tc>
      </w:tr>
      <w:tr w:rsidR="008B183B" w:rsidRPr="00217328" w:rsidTr="00593CF9">
        <w:trPr>
          <w:trHeight w:val="450"/>
        </w:trPr>
        <w:tc>
          <w:tcPr>
            <w:tcW w:w="824" w:type="pct"/>
            <w:vMerge/>
          </w:tcPr>
          <w:p w:rsidR="008B183B" w:rsidRPr="00217328" w:rsidRDefault="008B183B" w:rsidP="007A1404">
            <w:pPr>
              <w:spacing w:line="360" w:lineRule="auto"/>
              <w:rPr>
                <w:rFonts w:ascii="Garamond" w:eastAsia="Calibri" w:hAnsi="Garamond"/>
                <w:b/>
              </w:rPr>
            </w:pPr>
          </w:p>
        </w:tc>
        <w:tc>
          <w:tcPr>
            <w:tcW w:w="80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FDI</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-1.028</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-6.001</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-1.019</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-6.009</w:t>
            </w:r>
          </w:p>
        </w:tc>
        <w:tc>
          <w:tcPr>
            <w:tcW w:w="786"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I(1)</w:t>
            </w:r>
          </w:p>
        </w:tc>
      </w:tr>
      <w:tr w:rsidR="008B183B" w:rsidRPr="00217328" w:rsidTr="00593CF9">
        <w:trPr>
          <w:trHeight w:val="270"/>
        </w:trPr>
        <w:tc>
          <w:tcPr>
            <w:tcW w:w="824" w:type="pct"/>
            <w:vMerge w:val="restart"/>
          </w:tcPr>
          <w:p w:rsidR="008B183B" w:rsidRPr="00217328" w:rsidRDefault="008B183B" w:rsidP="007A1404">
            <w:pPr>
              <w:spacing w:line="360" w:lineRule="auto"/>
              <w:rPr>
                <w:rFonts w:ascii="Garamond" w:eastAsia="Calibri" w:hAnsi="Garamond"/>
                <w:b/>
              </w:rPr>
            </w:pPr>
            <w:r w:rsidRPr="00217328">
              <w:rPr>
                <w:rFonts w:ascii="Garamond" w:eastAsia="Calibri" w:hAnsi="Garamond"/>
                <w:b/>
              </w:rPr>
              <w:t>Ghana</w:t>
            </w:r>
          </w:p>
        </w:tc>
        <w:tc>
          <w:tcPr>
            <w:tcW w:w="80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Volatility</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1.652</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-3.999</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-2.482</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-5.490</w:t>
            </w:r>
          </w:p>
        </w:tc>
        <w:tc>
          <w:tcPr>
            <w:tcW w:w="786"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I(1)</w:t>
            </w:r>
          </w:p>
        </w:tc>
      </w:tr>
      <w:tr w:rsidR="008B183B" w:rsidRPr="00217328" w:rsidTr="00593CF9">
        <w:trPr>
          <w:trHeight w:val="270"/>
        </w:trPr>
        <w:tc>
          <w:tcPr>
            <w:tcW w:w="824" w:type="pct"/>
            <w:vMerge/>
          </w:tcPr>
          <w:p w:rsidR="008B183B" w:rsidRPr="00217328" w:rsidRDefault="008B183B" w:rsidP="007A1404">
            <w:pPr>
              <w:spacing w:line="360" w:lineRule="auto"/>
              <w:rPr>
                <w:rFonts w:ascii="Garamond" w:eastAsia="Calibri" w:hAnsi="Garamond"/>
                <w:b/>
              </w:rPr>
            </w:pPr>
          </w:p>
        </w:tc>
        <w:tc>
          <w:tcPr>
            <w:tcW w:w="80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FDI</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-2.482</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-5.490</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-2.437</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-5.490</w:t>
            </w:r>
          </w:p>
        </w:tc>
        <w:tc>
          <w:tcPr>
            <w:tcW w:w="786"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I(1)</w:t>
            </w:r>
          </w:p>
        </w:tc>
      </w:tr>
      <w:tr w:rsidR="008B183B" w:rsidRPr="00217328" w:rsidTr="00593CF9">
        <w:trPr>
          <w:trHeight w:val="285"/>
        </w:trPr>
        <w:tc>
          <w:tcPr>
            <w:tcW w:w="824" w:type="pct"/>
            <w:vMerge w:val="restart"/>
          </w:tcPr>
          <w:p w:rsidR="008B183B" w:rsidRPr="00217328" w:rsidRDefault="008B183B" w:rsidP="007A1404">
            <w:pPr>
              <w:spacing w:line="360" w:lineRule="auto"/>
              <w:rPr>
                <w:rFonts w:ascii="Garamond" w:eastAsia="Calibri" w:hAnsi="Garamond"/>
                <w:b/>
              </w:rPr>
            </w:pPr>
            <w:r w:rsidRPr="00217328">
              <w:rPr>
                <w:rFonts w:ascii="Garamond" w:eastAsia="Calibri" w:hAnsi="Garamond"/>
                <w:b/>
              </w:rPr>
              <w:t>Kenya</w:t>
            </w:r>
          </w:p>
        </w:tc>
        <w:tc>
          <w:tcPr>
            <w:tcW w:w="80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Volatility</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-2.764</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-6.038</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-3.684</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-18.649</w:t>
            </w:r>
          </w:p>
        </w:tc>
        <w:tc>
          <w:tcPr>
            <w:tcW w:w="786"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I(0)</w:t>
            </w:r>
          </w:p>
        </w:tc>
      </w:tr>
      <w:tr w:rsidR="008B183B" w:rsidRPr="00217328" w:rsidTr="00593CF9">
        <w:trPr>
          <w:trHeight w:val="255"/>
        </w:trPr>
        <w:tc>
          <w:tcPr>
            <w:tcW w:w="824" w:type="pct"/>
            <w:vMerge/>
          </w:tcPr>
          <w:p w:rsidR="008B183B" w:rsidRPr="00217328" w:rsidRDefault="008B183B" w:rsidP="007A1404">
            <w:pPr>
              <w:spacing w:line="360" w:lineRule="auto"/>
              <w:rPr>
                <w:rFonts w:ascii="Garamond" w:eastAsia="Calibri" w:hAnsi="Garamond"/>
                <w:b/>
              </w:rPr>
            </w:pPr>
          </w:p>
        </w:tc>
        <w:tc>
          <w:tcPr>
            <w:tcW w:w="80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FDI</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-5.388</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-8.787</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-5.387</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-9.272</w:t>
            </w:r>
          </w:p>
        </w:tc>
        <w:tc>
          <w:tcPr>
            <w:tcW w:w="786"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I(0)</w:t>
            </w:r>
          </w:p>
        </w:tc>
      </w:tr>
      <w:tr w:rsidR="008B183B" w:rsidRPr="00217328" w:rsidTr="00593CF9">
        <w:trPr>
          <w:trHeight w:val="285"/>
        </w:trPr>
        <w:tc>
          <w:tcPr>
            <w:tcW w:w="824" w:type="pct"/>
            <w:vMerge w:val="restart"/>
          </w:tcPr>
          <w:p w:rsidR="008B183B" w:rsidRPr="00217328" w:rsidRDefault="008B183B" w:rsidP="007A1404">
            <w:pPr>
              <w:spacing w:line="360" w:lineRule="auto"/>
              <w:rPr>
                <w:rFonts w:ascii="Garamond" w:eastAsia="Calibri" w:hAnsi="Garamond"/>
                <w:b/>
              </w:rPr>
            </w:pPr>
            <w:r w:rsidRPr="00217328">
              <w:rPr>
                <w:rFonts w:ascii="Garamond" w:eastAsia="Calibri" w:hAnsi="Garamond"/>
                <w:b/>
              </w:rPr>
              <w:t>Nigeria</w:t>
            </w:r>
          </w:p>
        </w:tc>
        <w:tc>
          <w:tcPr>
            <w:tcW w:w="80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Volatility</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-4.455</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8.432</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-4.396</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-9.379</w:t>
            </w:r>
          </w:p>
        </w:tc>
        <w:tc>
          <w:tcPr>
            <w:tcW w:w="786"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I(0)</w:t>
            </w:r>
          </w:p>
        </w:tc>
      </w:tr>
      <w:tr w:rsidR="008B183B" w:rsidRPr="00217328" w:rsidTr="00593CF9">
        <w:trPr>
          <w:trHeight w:val="255"/>
        </w:trPr>
        <w:tc>
          <w:tcPr>
            <w:tcW w:w="824" w:type="pct"/>
            <w:vMerge/>
          </w:tcPr>
          <w:p w:rsidR="008B183B" w:rsidRPr="00217328" w:rsidRDefault="008B183B" w:rsidP="007A1404">
            <w:pPr>
              <w:spacing w:line="360" w:lineRule="auto"/>
              <w:rPr>
                <w:rFonts w:ascii="Garamond" w:eastAsia="Calibri" w:hAnsi="Garamond"/>
                <w:b/>
              </w:rPr>
            </w:pPr>
          </w:p>
        </w:tc>
        <w:tc>
          <w:tcPr>
            <w:tcW w:w="80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FDI</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-0.016</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9.289</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-0.479</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-9.431</w:t>
            </w:r>
          </w:p>
        </w:tc>
        <w:tc>
          <w:tcPr>
            <w:tcW w:w="786"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I(1)</w:t>
            </w:r>
          </w:p>
        </w:tc>
      </w:tr>
      <w:tr w:rsidR="008B183B" w:rsidRPr="00217328" w:rsidTr="00593CF9">
        <w:trPr>
          <w:trHeight w:val="330"/>
        </w:trPr>
        <w:tc>
          <w:tcPr>
            <w:tcW w:w="824" w:type="pct"/>
            <w:vMerge w:val="restart"/>
          </w:tcPr>
          <w:p w:rsidR="008B183B" w:rsidRPr="00217328" w:rsidRDefault="008B183B" w:rsidP="007A1404">
            <w:pPr>
              <w:spacing w:line="360" w:lineRule="auto"/>
              <w:rPr>
                <w:rFonts w:ascii="Garamond" w:eastAsia="Calibri" w:hAnsi="Garamond"/>
                <w:b/>
              </w:rPr>
            </w:pPr>
            <w:r w:rsidRPr="00217328">
              <w:rPr>
                <w:rFonts w:ascii="Garamond" w:eastAsia="Calibri" w:hAnsi="Garamond"/>
                <w:b/>
              </w:rPr>
              <w:t>South Africa</w:t>
            </w:r>
          </w:p>
        </w:tc>
        <w:tc>
          <w:tcPr>
            <w:tcW w:w="80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Volatility</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-2.364</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-7.066</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-2.381</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-7.066</w:t>
            </w:r>
          </w:p>
        </w:tc>
        <w:tc>
          <w:tcPr>
            <w:tcW w:w="786"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I(1)</w:t>
            </w:r>
          </w:p>
        </w:tc>
      </w:tr>
      <w:tr w:rsidR="008B183B" w:rsidRPr="00217328" w:rsidTr="00593CF9">
        <w:trPr>
          <w:trHeight w:val="225"/>
        </w:trPr>
        <w:tc>
          <w:tcPr>
            <w:tcW w:w="824" w:type="pct"/>
            <w:vMerge/>
          </w:tcPr>
          <w:p w:rsidR="008B183B" w:rsidRPr="00217328" w:rsidRDefault="008B183B" w:rsidP="007A1404">
            <w:pPr>
              <w:spacing w:line="360" w:lineRule="auto"/>
              <w:rPr>
                <w:rFonts w:ascii="Garamond" w:eastAsia="Calibri" w:hAnsi="Garamond"/>
                <w:b/>
              </w:rPr>
            </w:pPr>
          </w:p>
        </w:tc>
        <w:tc>
          <w:tcPr>
            <w:tcW w:w="80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FDI</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0.228</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-11.979</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-3.729</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-13.448</w:t>
            </w:r>
          </w:p>
        </w:tc>
        <w:tc>
          <w:tcPr>
            <w:tcW w:w="786"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I(1)</w:t>
            </w:r>
          </w:p>
        </w:tc>
      </w:tr>
      <w:tr w:rsidR="008B183B" w:rsidRPr="00217328" w:rsidTr="00593CF9">
        <w:trPr>
          <w:trHeight w:val="270"/>
        </w:trPr>
        <w:tc>
          <w:tcPr>
            <w:tcW w:w="824" w:type="pct"/>
            <w:vMerge w:val="restart"/>
          </w:tcPr>
          <w:p w:rsidR="008B183B" w:rsidRPr="00217328" w:rsidRDefault="008B183B" w:rsidP="007A1404">
            <w:pPr>
              <w:spacing w:line="360" w:lineRule="auto"/>
              <w:rPr>
                <w:rFonts w:ascii="Garamond" w:eastAsia="Calibri" w:hAnsi="Garamond"/>
                <w:b/>
              </w:rPr>
            </w:pPr>
            <w:r w:rsidRPr="00217328">
              <w:rPr>
                <w:rFonts w:ascii="Garamond" w:eastAsia="Calibri" w:hAnsi="Garamond"/>
                <w:b/>
              </w:rPr>
              <w:t>Tanzania</w:t>
            </w:r>
          </w:p>
        </w:tc>
        <w:tc>
          <w:tcPr>
            <w:tcW w:w="80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Volatility</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-4.435</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-7.241</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-4.599</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-10.404</w:t>
            </w:r>
          </w:p>
        </w:tc>
        <w:tc>
          <w:tcPr>
            <w:tcW w:w="786"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I(0)</w:t>
            </w:r>
          </w:p>
        </w:tc>
      </w:tr>
      <w:tr w:rsidR="008B183B" w:rsidRPr="00217328" w:rsidTr="00593CF9">
        <w:trPr>
          <w:trHeight w:val="270"/>
        </w:trPr>
        <w:tc>
          <w:tcPr>
            <w:tcW w:w="824" w:type="pct"/>
            <w:vMerge/>
          </w:tcPr>
          <w:p w:rsidR="008B183B" w:rsidRPr="00217328" w:rsidRDefault="008B183B" w:rsidP="007A1404">
            <w:pPr>
              <w:spacing w:line="360" w:lineRule="auto"/>
              <w:rPr>
                <w:rFonts w:ascii="Garamond" w:eastAsia="Calibri" w:hAnsi="Garamond"/>
                <w:b/>
              </w:rPr>
            </w:pPr>
          </w:p>
        </w:tc>
        <w:tc>
          <w:tcPr>
            <w:tcW w:w="80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FDI</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1.051</w:t>
            </w:r>
          </w:p>
        </w:tc>
        <w:tc>
          <w:tcPr>
            <w:tcW w:w="739" w:type="pct"/>
            <w:tcBorders>
              <w:top w:val="single" w:sz="4" w:space="0" w:color="auto"/>
            </w:tcBorders>
          </w:tcPr>
          <w:p w:rsidR="008B183B" w:rsidRPr="00217328" w:rsidRDefault="008B183B" w:rsidP="007A1404">
            <w:pPr>
              <w:tabs>
                <w:tab w:val="left" w:pos="1020"/>
              </w:tabs>
              <w:spacing w:line="360" w:lineRule="auto"/>
              <w:rPr>
                <w:rFonts w:ascii="Garamond" w:eastAsia="Calibri" w:hAnsi="Garamond"/>
              </w:rPr>
            </w:pPr>
            <w:r w:rsidRPr="00217328">
              <w:rPr>
                <w:rFonts w:ascii="Garamond" w:eastAsia="Calibri" w:hAnsi="Garamond"/>
              </w:rPr>
              <w:t>-6.656</w:t>
            </w:r>
            <w:r w:rsidRPr="00217328">
              <w:rPr>
                <w:rFonts w:ascii="Garamond" w:eastAsia="Calibri" w:hAnsi="Garamond"/>
              </w:rPr>
              <w:tab/>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-0.065</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-11.242</w:t>
            </w:r>
          </w:p>
        </w:tc>
        <w:tc>
          <w:tcPr>
            <w:tcW w:w="786"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I(1)</w:t>
            </w:r>
          </w:p>
        </w:tc>
      </w:tr>
      <w:tr w:rsidR="008B183B" w:rsidRPr="00217328" w:rsidTr="00593CF9">
        <w:trPr>
          <w:trHeight w:val="240"/>
        </w:trPr>
        <w:tc>
          <w:tcPr>
            <w:tcW w:w="824" w:type="pct"/>
            <w:vMerge w:val="restart"/>
          </w:tcPr>
          <w:p w:rsidR="008B183B" w:rsidRPr="00217328" w:rsidRDefault="008B183B" w:rsidP="007A1404">
            <w:pPr>
              <w:spacing w:line="360" w:lineRule="auto"/>
              <w:rPr>
                <w:rFonts w:ascii="Garamond" w:eastAsia="Calibri" w:hAnsi="Garamond"/>
                <w:b/>
              </w:rPr>
            </w:pPr>
            <w:r w:rsidRPr="00217328">
              <w:rPr>
                <w:rFonts w:ascii="Garamond" w:eastAsia="Calibri" w:hAnsi="Garamond"/>
                <w:b/>
              </w:rPr>
              <w:t>Zambia</w:t>
            </w:r>
          </w:p>
        </w:tc>
        <w:tc>
          <w:tcPr>
            <w:tcW w:w="80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Volatility</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-3.184</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-6.304</w:t>
            </w:r>
          </w:p>
        </w:tc>
        <w:tc>
          <w:tcPr>
            <w:tcW w:w="551"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-3.623</w:t>
            </w:r>
          </w:p>
        </w:tc>
        <w:tc>
          <w:tcPr>
            <w:tcW w:w="739"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-12.785</w:t>
            </w:r>
          </w:p>
        </w:tc>
        <w:tc>
          <w:tcPr>
            <w:tcW w:w="786" w:type="pct"/>
            <w:tcBorders>
              <w:bottom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I(0)</w:t>
            </w:r>
          </w:p>
        </w:tc>
      </w:tr>
      <w:tr w:rsidR="008B183B" w:rsidRPr="00217328" w:rsidTr="00593CF9">
        <w:trPr>
          <w:trHeight w:val="315"/>
        </w:trPr>
        <w:tc>
          <w:tcPr>
            <w:tcW w:w="824" w:type="pct"/>
            <w:vMerge/>
          </w:tcPr>
          <w:p w:rsidR="008B183B" w:rsidRPr="00217328" w:rsidRDefault="008B183B" w:rsidP="007A1404">
            <w:pPr>
              <w:spacing w:line="360" w:lineRule="auto"/>
              <w:rPr>
                <w:rFonts w:ascii="Garamond" w:eastAsia="Calibri" w:hAnsi="Garamond"/>
                <w:b/>
              </w:rPr>
            </w:pPr>
          </w:p>
        </w:tc>
        <w:tc>
          <w:tcPr>
            <w:tcW w:w="80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FDI</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-3.754</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-8.235</w:t>
            </w:r>
          </w:p>
        </w:tc>
        <w:tc>
          <w:tcPr>
            <w:tcW w:w="551"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-3.793</w:t>
            </w:r>
          </w:p>
        </w:tc>
        <w:tc>
          <w:tcPr>
            <w:tcW w:w="739"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-10.871</w:t>
            </w:r>
          </w:p>
        </w:tc>
        <w:tc>
          <w:tcPr>
            <w:tcW w:w="786" w:type="pct"/>
            <w:tcBorders>
              <w:top w:val="single" w:sz="4" w:space="0" w:color="auto"/>
            </w:tcBorders>
          </w:tcPr>
          <w:p w:rsidR="008B183B" w:rsidRPr="00217328" w:rsidRDefault="008B183B" w:rsidP="007A1404">
            <w:pPr>
              <w:spacing w:line="360" w:lineRule="auto"/>
              <w:rPr>
                <w:rFonts w:ascii="Garamond" w:eastAsia="Calibri" w:hAnsi="Garamond"/>
              </w:rPr>
            </w:pPr>
            <w:r w:rsidRPr="00217328">
              <w:rPr>
                <w:rFonts w:ascii="Garamond" w:eastAsia="Calibri" w:hAnsi="Garamond"/>
              </w:rPr>
              <w:t>I(0)</w:t>
            </w:r>
          </w:p>
        </w:tc>
      </w:tr>
    </w:tbl>
    <w:p w:rsidR="008B183B" w:rsidRPr="00217328" w:rsidRDefault="008B183B" w:rsidP="00432C32">
      <w:pPr>
        <w:tabs>
          <w:tab w:val="left" w:pos="7500"/>
        </w:tabs>
        <w:spacing w:line="360" w:lineRule="auto"/>
        <w:rPr>
          <w:rFonts w:ascii="Garamond" w:hAnsi="Garamond"/>
          <w:sz w:val="20"/>
          <w:szCs w:val="20"/>
        </w:rPr>
      </w:pPr>
      <w:r w:rsidRPr="00217328">
        <w:rPr>
          <w:rFonts w:ascii="Garamond" w:hAnsi="Garamond"/>
          <w:i/>
          <w:sz w:val="20"/>
          <w:szCs w:val="20"/>
        </w:rPr>
        <w:t>Source</w:t>
      </w:r>
      <w:r w:rsidRPr="00217328">
        <w:rPr>
          <w:rFonts w:ascii="Garamond" w:hAnsi="Garamond"/>
          <w:sz w:val="20"/>
          <w:szCs w:val="20"/>
        </w:rPr>
        <w:t>: Author’s Computation.</w:t>
      </w:r>
    </w:p>
    <w:p w:rsidR="00171650" w:rsidRPr="00217328" w:rsidRDefault="008B183B" w:rsidP="00432C32">
      <w:pPr>
        <w:tabs>
          <w:tab w:val="left" w:pos="7500"/>
        </w:tabs>
        <w:spacing w:line="360" w:lineRule="auto"/>
        <w:rPr>
          <w:rFonts w:ascii="Garamond" w:hAnsi="Garamond"/>
          <w:b/>
        </w:rPr>
        <w:sectPr w:rsidR="00171650" w:rsidRPr="00217328" w:rsidSect="0001695B">
          <w:footerReference w:type="default" r:id="rId58"/>
          <w:footerReference w:type="first" r:id="rId59"/>
          <w:pgSz w:w="12240" w:h="15840"/>
          <w:pgMar w:top="540" w:right="1797" w:bottom="1170" w:left="1797" w:header="709" w:footer="709" w:gutter="0"/>
          <w:pgNumType w:start="0"/>
          <w:cols w:space="708"/>
          <w:titlePg/>
          <w:docGrid w:linePitch="360"/>
        </w:sectPr>
      </w:pPr>
      <w:r w:rsidRPr="00217328">
        <w:rPr>
          <w:rFonts w:ascii="Garamond" w:hAnsi="Garamond"/>
          <w:sz w:val="20"/>
          <w:szCs w:val="20"/>
        </w:rPr>
        <w:t xml:space="preserve">Note: The critical values are </w:t>
      </w:r>
      <w:r w:rsidRPr="00217328">
        <w:rPr>
          <w:rFonts w:ascii="Garamond" w:eastAsia="Calibri" w:hAnsi="Garamond"/>
          <w:sz w:val="20"/>
          <w:szCs w:val="20"/>
        </w:rPr>
        <w:t>-3.64, -2.95 and -2.61 at the (1%., 5% and 10% levels, respectively.</w:t>
      </w:r>
    </w:p>
    <w:p w:rsidR="00171650" w:rsidRPr="00217328" w:rsidRDefault="007B4D27" w:rsidP="00432C32">
      <w:pPr>
        <w:spacing w:line="360" w:lineRule="auto"/>
        <w:jc w:val="both"/>
        <w:rPr>
          <w:rFonts w:ascii="Garamond" w:hAnsi="Garamond"/>
          <w:b/>
        </w:rPr>
      </w:pPr>
      <w:r w:rsidRPr="00217328">
        <w:rPr>
          <w:rFonts w:ascii="Garamond" w:hAnsi="Garamond"/>
          <w:b/>
        </w:rPr>
        <w:lastRenderedPageBreak/>
        <w:t>Table 6</w:t>
      </w:r>
      <w:r w:rsidR="00171650" w:rsidRPr="00217328">
        <w:rPr>
          <w:rFonts w:ascii="Garamond" w:hAnsi="Garamond"/>
          <w:b/>
        </w:rPr>
        <w:t>: The GARCH Model of Exchange Rate Volatility in Selected SSA Countries</w:t>
      </w:r>
    </w:p>
    <w:tbl>
      <w:tblPr>
        <w:tblW w:w="13968" w:type="dxa"/>
        <w:tblBorders>
          <w:insideH w:val="single" w:sz="18" w:space="0" w:color="FFFFFF"/>
          <w:insideV w:val="single" w:sz="18" w:space="0" w:color="FFFFFF"/>
        </w:tblBorders>
        <w:tblLayout w:type="fixed"/>
        <w:tblLook w:val="01E0"/>
      </w:tblPr>
      <w:tblGrid>
        <w:gridCol w:w="1133"/>
        <w:gridCol w:w="1085"/>
        <w:gridCol w:w="1398"/>
        <w:gridCol w:w="1049"/>
        <w:gridCol w:w="1106"/>
        <w:gridCol w:w="1143"/>
        <w:gridCol w:w="921"/>
        <w:gridCol w:w="823"/>
        <w:gridCol w:w="1017"/>
        <w:gridCol w:w="1105"/>
        <w:gridCol w:w="980"/>
        <w:gridCol w:w="880"/>
        <w:gridCol w:w="1328"/>
      </w:tblGrid>
      <w:tr w:rsidR="00171650" w:rsidRPr="00217328" w:rsidTr="004C3A3D">
        <w:trPr>
          <w:trHeight w:val="195"/>
        </w:trPr>
        <w:tc>
          <w:tcPr>
            <w:tcW w:w="1133" w:type="dxa"/>
            <w:vMerge w:val="restart"/>
            <w:shd w:val="pct20" w:color="000000" w:fill="FFFFFF"/>
          </w:tcPr>
          <w:p w:rsidR="00171650" w:rsidRPr="00217328" w:rsidRDefault="00171650" w:rsidP="007A1404">
            <w:pPr>
              <w:spacing w:line="360" w:lineRule="auto"/>
              <w:jc w:val="center"/>
              <w:rPr>
                <w:rFonts w:ascii="Garamond" w:hAnsi="Garamond"/>
                <w:b/>
                <w:bCs/>
                <w:sz w:val="22"/>
                <w:szCs w:val="22"/>
              </w:rPr>
            </w:pPr>
            <w:r w:rsidRPr="00217328">
              <w:rPr>
                <w:rFonts w:ascii="Garamond" w:hAnsi="Garamond"/>
                <w:b/>
                <w:bCs/>
                <w:sz w:val="22"/>
                <w:szCs w:val="22"/>
              </w:rPr>
              <w:t>Country</w:t>
            </w:r>
          </w:p>
        </w:tc>
        <w:tc>
          <w:tcPr>
            <w:tcW w:w="1085" w:type="dxa"/>
            <w:vMerge w:val="restart"/>
            <w:shd w:val="pct20" w:color="000000" w:fill="FFFFFF"/>
          </w:tcPr>
          <w:p w:rsidR="00171650" w:rsidRPr="00217328" w:rsidRDefault="00171650" w:rsidP="007A1404">
            <w:pPr>
              <w:spacing w:line="360" w:lineRule="auto"/>
              <w:jc w:val="center"/>
              <w:rPr>
                <w:rFonts w:ascii="Garamond" w:hAnsi="Garamond"/>
                <w:b/>
                <w:bCs/>
                <w:sz w:val="22"/>
                <w:szCs w:val="22"/>
              </w:rPr>
            </w:pPr>
            <w:r w:rsidRPr="00217328">
              <w:rPr>
                <w:rFonts w:ascii="Garamond" w:hAnsi="Garamond"/>
                <w:b/>
                <w:bCs/>
                <w:sz w:val="22"/>
                <w:szCs w:val="22"/>
              </w:rPr>
              <w:t>Mean Equation</w:t>
            </w:r>
          </w:p>
        </w:tc>
        <w:tc>
          <w:tcPr>
            <w:tcW w:w="4696" w:type="dxa"/>
            <w:gridSpan w:val="4"/>
            <w:shd w:val="pct20" w:color="000000" w:fill="FFFFFF"/>
          </w:tcPr>
          <w:p w:rsidR="00171650" w:rsidRPr="00217328" w:rsidRDefault="00171650" w:rsidP="007A1404">
            <w:pPr>
              <w:spacing w:line="360" w:lineRule="auto"/>
              <w:jc w:val="center"/>
              <w:rPr>
                <w:rFonts w:ascii="Garamond" w:hAnsi="Garamond"/>
                <w:b/>
                <w:bCs/>
                <w:sz w:val="22"/>
                <w:szCs w:val="22"/>
              </w:rPr>
            </w:pPr>
            <w:r w:rsidRPr="00217328">
              <w:rPr>
                <w:rFonts w:ascii="Garamond" w:hAnsi="Garamond"/>
                <w:b/>
                <w:bCs/>
                <w:sz w:val="22"/>
                <w:szCs w:val="22"/>
              </w:rPr>
              <w:t>Variance Equation</w:t>
            </w:r>
          </w:p>
        </w:tc>
        <w:tc>
          <w:tcPr>
            <w:tcW w:w="921" w:type="dxa"/>
            <w:vMerge w:val="restart"/>
            <w:shd w:val="pct20" w:color="000000" w:fill="FFFFFF"/>
          </w:tcPr>
          <w:p w:rsidR="00171650" w:rsidRPr="00217328" w:rsidRDefault="00171650" w:rsidP="007A1404">
            <w:pPr>
              <w:spacing w:line="360" w:lineRule="auto"/>
              <w:jc w:val="center"/>
              <w:rPr>
                <w:rFonts w:ascii="Garamond" w:hAnsi="Garamond"/>
                <w:b/>
                <w:bCs/>
                <w:sz w:val="22"/>
                <w:szCs w:val="22"/>
              </w:rPr>
            </w:pPr>
            <w:r w:rsidRPr="00217328">
              <w:rPr>
                <w:rFonts w:ascii="Garamond" w:hAnsi="Garamond"/>
                <w:b/>
                <w:bCs/>
                <w:sz w:val="22"/>
                <w:szCs w:val="22"/>
              </w:rPr>
              <w:t>Wald Test</w:t>
            </w:r>
          </w:p>
        </w:tc>
        <w:tc>
          <w:tcPr>
            <w:tcW w:w="4805" w:type="dxa"/>
            <w:gridSpan w:val="5"/>
            <w:shd w:val="pct20" w:color="000000" w:fill="FFFFFF"/>
          </w:tcPr>
          <w:p w:rsidR="00171650" w:rsidRPr="00217328" w:rsidRDefault="00171650" w:rsidP="007A1404">
            <w:pPr>
              <w:spacing w:line="360" w:lineRule="auto"/>
              <w:jc w:val="center"/>
              <w:rPr>
                <w:rFonts w:ascii="Garamond" w:hAnsi="Garamond"/>
                <w:b/>
                <w:bCs/>
                <w:sz w:val="22"/>
                <w:szCs w:val="22"/>
              </w:rPr>
            </w:pPr>
            <w:r w:rsidRPr="00217328">
              <w:rPr>
                <w:rFonts w:ascii="Garamond" w:hAnsi="Garamond"/>
                <w:b/>
                <w:bCs/>
                <w:sz w:val="22"/>
                <w:szCs w:val="22"/>
              </w:rPr>
              <w:t>Normality Test</w:t>
            </w:r>
          </w:p>
        </w:tc>
        <w:tc>
          <w:tcPr>
            <w:tcW w:w="1328" w:type="dxa"/>
            <w:vMerge w:val="restart"/>
            <w:shd w:val="pct20" w:color="000000" w:fill="FFFFFF"/>
          </w:tcPr>
          <w:p w:rsidR="004C3A3D" w:rsidRPr="00217328" w:rsidRDefault="00171650" w:rsidP="007A1404">
            <w:pPr>
              <w:spacing w:line="360" w:lineRule="auto"/>
              <w:jc w:val="center"/>
              <w:rPr>
                <w:rFonts w:ascii="Garamond" w:hAnsi="Garamond"/>
                <w:b/>
                <w:bCs/>
                <w:sz w:val="22"/>
                <w:szCs w:val="22"/>
              </w:rPr>
            </w:pPr>
            <w:r w:rsidRPr="00217328">
              <w:rPr>
                <w:rFonts w:ascii="Garamond" w:hAnsi="Garamond"/>
                <w:b/>
                <w:bCs/>
                <w:sz w:val="22"/>
                <w:szCs w:val="22"/>
              </w:rPr>
              <w:t>ARCH</w:t>
            </w:r>
            <w:r w:rsidR="004C3A3D" w:rsidRPr="00217328">
              <w:rPr>
                <w:rFonts w:ascii="Garamond" w:hAnsi="Garamond"/>
                <w:b/>
                <w:bCs/>
                <w:sz w:val="22"/>
                <w:szCs w:val="22"/>
              </w:rPr>
              <w:t>/</w:t>
            </w:r>
          </w:p>
          <w:p w:rsidR="00171650" w:rsidRPr="00217328" w:rsidRDefault="004C3A3D" w:rsidP="007A1404">
            <w:pPr>
              <w:spacing w:line="360" w:lineRule="auto"/>
              <w:jc w:val="center"/>
              <w:rPr>
                <w:rFonts w:ascii="Garamond" w:hAnsi="Garamond"/>
                <w:b/>
                <w:bCs/>
                <w:sz w:val="22"/>
                <w:szCs w:val="22"/>
              </w:rPr>
            </w:pPr>
            <w:r w:rsidRPr="00217328">
              <w:rPr>
                <w:rFonts w:ascii="Garamond" w:hAnsi="Garamond"/>
                <w:b/>
                <w:bCs/>
                <w:sz w:val="22"/>
                <w:szCs w:val="22"/>
              </w:rPr>
              <w:t>GARCH</w:t>
            </w:r>
            <w:r w:rsidR="00171650" w:rsidRPr="00217328">
              <w:rPr>
                <w:rFonts w:ascii="Garamond" w:hAnsi="Garamond"/>
                <w:b/>
                <w:bCs/>
                <w:sz w:val="22"/>
                <w:szCs w:val="22"/>
              </w:rPr>
              <w:t xml:space="preserve"> LM</w:t>
            </w:r>
          </w:p>
        </w:tc>
      </w:tr>
      <w:tr w:rsidR="004C3A3D" w:rsidRPr="00217328" w:rsidTr="00DD1D97">
        <w:trPr>
          <w:trHeight w:val="360"/>
        </w:trPr>
        <w:tc>
          <w:tcPr>
            <w:tcW w:w="1133" w:type="dxa"/>
            <w:vMerge/>
            <w:shd w:val="pct5" w:color="000000" w:fill="FFFFFF"/>
          </w:tcPr>
          <w:p w:rsidR="00171650" w:rsidRPr="00217328" w:rsidRDefault="00171650" w:rsidP="007A1404">
            <w:pPr>
              <w:spacing w:line="360" w:lineRule="auto"/>
              <w:rPr>
                <w:rFonts w:ascii="Garamond" w:hAnsi="Garamond"/>
                <w:sz w:val="22"/>
                <w:szCs w:val="22"/>
              </w:rPr>
            </w:pPr>
          </w:p>
        </w:tc>
        <w:tc>
          <w:tcPr>
            <w:tcW w:w="1085" w:type="dxa"/>
            <w:vMerge/>
            <w:shd w:val="pct5" w:color="000000" w:fill="FFFFFF"/>
          </w:tcPr>
          <w:p w:rsidR="00171650" w:rsidRPr="00217328" w:rsidRDefault="00171650" w:rsidP="007A1404">
            <w:pPr>
              <w:spacing w:line="360" w:lineRule="auto"/>
              <w:rPr>
                <w:rFonts w:ascii="Garamond" w:hAnsi="Garamond"/>
                <w:sz w:val="22"/>
                <w:szCs w:val="22"/>
              </w:rPr>
            </w:pPr>
          </w:p>
        </w:tc>
        <w:tc>
          <w:tcPr>
            <w:tcW w:w="1398" w:type="dxa"/>
            <w:shd w:val="pct5" w:color="000000" w:fill="FFFFFF"/>
          </w:tcPr>
          <w:p w:rsidR="00171650" w:rsidRPr="00217328" w:rsidRDefault="00171650" w:rsidP="007A1404">
            <w:pPr>
              <w:spacing w:line="360" w:lineRule="auto"/>
              <w:rPr>
                <w:rFonts w:ascii="Garamond" w:hAnsi="Garamond"/>
                <w:sz w:val="22"/>
                <w:szCs w:val="22"/>
              </w:rPr>
            </w:pPr>
          </w:p>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Constant(</w:t>
            </w:r>
            <w:r w:rsidRPr="00217328">
              <w:rPr>
                <w:rFonts w:ascii="Garamond" w:hAnsi="Garamond"/>
                <w:position w:val="-6"/>
                <w:sz w:val="22"/>
                <w:szCs w:val="22"/>
              </w:rPr>
              <w:object w:dxaOrig="240" w:dyaOrig="220">
                <v:shape id="_x0000_i1049" type="#_x0000_t75" style="width:12pt;height:11.25pt" o:ole="">
                  <v:imagedata r:id="rId60" o:title=""/>
                </v:shape>
                <o:OLEObject Type="Embed" ProgID="Equation.DSMT4" ShapeID="_x0000_i1049" DrawAspect="Content" ObjectID="_1380518036" r:id="rId61"/>
              </w:object>
            </w:r>
            <w:r w:rsidRPr="00217328">
              <w:rPr>
                <w:rFonts w:ascii="Garamond" w:hAnsi="Garamond"/>
                <w:sz w:val="22"/>
                <w:szCs w:val="22"/>
              </w:rPr>
              <w:t>)</w:t>
            </w:r>
          </w:p>
        </w:tc>
        <w:tc>
          <w:tcPr>
            <w:tcW w:w="1049" w:type="dxa"/>
            <w:shd w:val="pct5" w:color="000000" w:fill="FFFFFF"/>
          </w:tcPr>
          <w:p w:rsidR="00171650" w:rsidRPr="00217328" w:rsidRDefault="00171650" w:rsidP="007A1404">
            <w:pPr>
              <w:spacing w:line="360" w:lineRule="auto"/>
              <w:rPr>
                <w:rFonts w:ascii="Garamond" w:hAnsi="Garamond"/>
                <w:sz w:val="22"/>
                <w:szCs w:val="22"/>
              </w:rPr>
            </w:pPr>
          </w:p>
          <w:p w:rsidR="00171650" w:rsidRPr="00217328" w:rsidRDefault="00171650" w:rsidP="007A1404">
            <w:pPr>
              <w:spacing w:line="360" w:lineRule="auto"/>
              <w:jc w:val="center"/>
              <w:rPr>
                <w:rFonts w:ascii="Garamond" w:hAnsi="Garamond"/>
                <w:sz w:val="22"/>
                <w:szCs w:val="22"/>
              </w:rPr>
            </w:pPr>
            <w:r w:rsidRPr="00217328">
              <w:rPr>
                <w:rFonts w:ascii="Garamond" w:hAnsi="Garamond"/>
                <w:position w:val="-10"/>
                <w:sz w:val="22"/>
                <w:szCs w:val="22"/>
              </w:rPr>
              <w:object w:dxaOrig="240" w:dyaOrig="320">
                <v:shape id="_x0000_i1050" type="#_x0000_t75" style="width:12pt;height:15.75pt" o:ole="">
                  <v:imagedata r:id="rId62" o:title=""/>
                </v:shape>
                <o:OLEObject Type="Embed" ProgID="Equation.DSMT4" ShapeID="_x0000_i1050" DrawAspect="Content" ObjectID="_1380518037" r:id="rId63"/>
              </w:object>
            </w:r>
          </w:p>
        </w:tc>
        <w:tc>
          <w:tcPr>
            <w:tcW w:w="1106" w:type="dxa"/>
            <w:shd w:val="pct5" w:color="000000" w:fill="FFFFFF"/>
          </w:tcPr>
          <w:p w:rsidR="00171650" w:rsidRPr="00217328" w:rsidRDefault="00171650" w:rsidP="007A1404">
            <w:pPr>
              <w:spacing w:line="360" w:lineRule="auto"/>
              <w:rPr>
                <w:rFonts w:ascii="Garamond" w:hAnsi="Garamond"/>
                <w:sz w:val="22"/>
                <w:szCs w:val="22"/>
              </w:rPr>
            </w:pPr>
          </w:p>
          <w:p w:rsidR="00171650" w:rsidRPr="00217328" w:rsidRDefault="00171650" w:rsidP="007A1404">
            <w:pPr>
              <w:spacing w:line="360" w:lineRule="auto"/>
              <w:jc w:val="center"/>
              <w:rPr>
                <w:rFonts w:ascii="Garamond" w:hAnsi="Garamond"/>
                <w:sz w:val="22"/>
                <w:szCs w:val="22"/>
              </w:rPr>
            </w:pPr>
            <w:r w:rsidRPr="00217328">
              <w:rPr>
                <w:rFonts w:ascii="Garamond" w:hAnsi="Garamond"/>
                <w:position w:val="-6"/>
                <w:sz w:val="22"/>
                <w:szCs w:val="22"/>
              </w:rPr>
              <w:object w:dxaOrig="240" w:dyaOrig="220">
                <v:shape id="_x0000_i1051" type="#_x0000_t75" style="width:12pt;height:11.25pt" o:ole="">
                  <v:imagedata r:id="rId64" o:title=""/>
                </v:shape>
                <o:OLEObject Type="Embed" ProgID="Equation.DSMT4" ShapeID="_x0000_i1051" DrawAspect="Content" ObjectID="_1380518038" r:id="rId65"/>
              </w:object>
            </w:r>
          </w:p>
        </w:tc>
        <w:tc>
          <w:tcPr>
            <w:tcW w:w="1143" w:type="dxa"/>
            <w:shd w:val="pct5" w:color="000000" w:fill="FFFFFF"/>
          </w:tcPr>
          <w:p w:rsidR="00171650" w:rsidRPr="00217328" w:rsidRDefault="00171650" w:rsidP="007A1404">
            <w:pPr>
              <w:spacing w:line="360" w:lineRule="auto"/>
              <w:rPr>
                <w:rFonts w:ascii="Garamond" w:hAnsi="Garamond"/>
                <w:sz w:val="22"/>
                <w:szCs w:val="22"/>
              </w:rPr>
            </w:pPr>
          </w:p>
          <w:p w:rsidR="00171650" w:rsidRPr="00217328" w:rsidRDefault="00171650" w:rsidP="007A1404">
            <w:pPr>
              <w:spacing w:line="360" w:lineRule="auto"/>
              <w:jc w:val="center"/>
              <w:rPr>
                <w:rFonts w:ascii="Garamond" w:hAnsi="Garamond"/>
                <w:sz w:val="22"/>
                <w:szCs w:val="22"/>
              </w:rPr>
            </w:pPr>
            <w:r w:rsidRPr="00217328">
              <w:rPr>
                <w:rFonts w:ascii="Garamond" w:hAnsi="Garamond"/>
                <w:sz w:val="22"/>
                <w:szCs w:val="22"/>
              </w:rPr>
              <w:t>EGARCH</w:t>
            </w:r>
          </w:p>
        </w:tc>
        <w:tc>
          <w:tcPr>
            <w:tcW w:w="921" w:type="dxa"/>
            <w:vMerge/>
            <w:shd w:val="pct5" w:color="000000" w:fill="FFFFFF"/>
          </w:tcPr>
          <w:p w:rsidR="00171650" w:rsidRPr="00217328" w:rsidRDefault="00171650" w:rsidP="007A1404">
            <w:pPr>
              <w:spacing w:line="360" w:lineRule="auto"/>
              <w:rPr>
                <w:rFonts w:ascii="Garamond" w:hAnsi="Garamond"/>
                <w:sz w:val="22"/>
                <w:szCs w:val="22"/>
              </w:rPr>
            </w:pPr>
          </w:p>
        </w:tc>
        <w:tc>
          <w:tcPr>
            <w:tcW w:w="823"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Mean</w:t>
            </w:r>
          </w:p>
        </w:tc>
        <w:tc>
          <w:tcPr>
            <w:tcW w:w="1017" w:type="dxa"/>
            <w:shd w:val="pct5" w:color="000000" w:fill="FFFFFF"/>
          </w:tcPr>
          <w:p w:rsidR="00171650" w:rsidRPr="00217328" w:rsidRDefault="00171650" w:rsidP="007A1404">
            <w:pPr>
              <w:spacing w:line="360" w:lineRule="auto"/>
              <w:jc w:val="center"/>
              <w:rPr>
                <w:rFonts w:ascii="Garamond" w:hAnsi="Garamond"/>
                <w:sz w:val="22"/>
                <w:szCs w:val="22"/>
              </w:rPr>
            </w:pPr>
            <w:r w:rsidRPr="00217328">
              <w:rPr>
                <w:rFonts w:ascii="Garamond" w:hAnsi="Garamond"/>
                <w:sz w:val="22"/>
                <w:szCs w:val="22"/>
              </w:rPr>
              <w:t>Standard Deviation</w:t>
            </w:r>
          </w:p>
        </w:tc>
        <w:tc>
          <w:tcPr>
            <w:tcW w:w="1105" w:type="dxa"/>
            <w:shd w:val="pct5" w:color="000000" w:fill="FFFFFF"/>
          </w:tcPr>
          <w:p w:rsidR="00171650" w:rsidRPr="00217328" w:rsidRDefault="00171650" w:rsidP="007A1404">
            <w:pPr>
              <w:spacing w:line="360" w:lineRule="auto"/>
              <w:jc w:val="center"/>
              <w:rPr>
                <w:rFonts w:ascii="Garamond" w:hAnsi="Garamond"/>
                <w:sz w:val="22"/>
                <w:szCs w:val="22"/>
              </w:rPr>
            </w:pPr>
            <w:r w:rsidRPr="00217328">
              <w:rPr>
                <w:rFonts w:ascii="Garamond" w:hAnsi="Garamond"/>
                <w:sz w:val="22"/>
                <w:szCs w:val="22"/>
              </w:rPr>
              <w:t>Skewness</w:t>
            </w:r>
          </w:p>
        </w:tc>
        <w:tc>
          <w:tcPr>
            <w:tcW w:w="980" w:type="dxa"/>
            <w:shd w:val="pct5" w:color="000000" w:fill="FFFFFF"/>
          </w:tcPr>
          <w:p w:rsidR="00171650" w:rsidRPr="00217328" w:rsidRDefault="00171650" w:rsidP="007A1404">
            <w:pPr>
              <w:spacing w:line="360" w:lineRule="auto"/>
              <w:jc w:val="center"/>
              <w:rPr>
                <w:rFonts w:ascii="Garamond" w:hAnsi="Garamond"/>
                <w:sz w:val="22"/>
                <w:szCs w:val="22"/>
              </w:rPr>
            </w:pPr>
            <w:r w:rsidRPr="00217328">
              <w:rPr>
                <w:rFonts w:ascii="Garamond" w:hAnsi="Garamond"/>
                <w:sz w:val="22"/>
                <w:szCs w:val="22"/>
              </w:rPr>
              <w:t>Kurtosis</w:t>
            </w:r>
          </w:p>
        </w:tc>
        <w:tc>
          <w:tcPr>
            <w:tcW w:w="880" w:type="dxa"/>
            <w:shd w:val="pct5" w:color="000000" w:fill="FFFFFF"/>
          </w:tcPr>
          <w:p w:rsidR="00171650" w:rsidRPr="00217328" w:rsidRDefault="00171650" w:rsidP="007A1404">
            <w:pPr>
              <w:spacing w:line="360" w:lineRule="auto"/>
              <w:jc w:val="center"/>
              <w:rPr>
                <w:rFonts w:ascii="Garamond" w:hAnsi="Garamond"/>
                <w:sz w:val="22"/>
                <w:szCs w:val="22"/>
              </w:rPr>
            </w:pPr>
            <w:r w:rsidRPr="00217328">
              <w:rPr>
                <w:rFonts w:ascii="Garamond" w:hAnsi="Garamond"/>
                <w:sz w:val="22"/>
                <w:szCs w:val="22"/>
              </w:rPr>
              <w:t>Jarque-Bera</w:t>
            </w:r>
          </w:p>
        </w:tc>
        <w:tc>
          <w:tcPr>
            <w:tcW w:w="1328" w:type="dxa"/>
            <w:vMerge/>
            <w:shd w:val="pct5" w:color="000000" w:fill="FFFFFF"/>
          </w:tcPr>
          <w:p w:rsidR="00171650" w:rsidRPr="00217328" w:rsidRDefault="00171650" w:rsidP="007A1404">
            <w:pPr>
              <w:spacing w:line="360" w:lineRule="auto"/>
              <w:rPr>
                <w:rFonts w:ascii="Garamond" w:hAnsi="Garamond"/>
                <w:sz w:val="22"/>
                <w:szCs w:val="22"/>
              </w:rPr>
            </w:pPr>
          </w:p>
        </w:tc>
      </w:tr>
      <w:tr w:rsidR="004C3A3D" w:rsidRPr="00217328" w:rsidTr="00DD1D97">
        <w:tc>
          <w:tcPr>
            <w:tcW w:w="113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Cameroon</w:t>
            </w:r>
          </w:p>
        </w:tc>
        <w:tc>
          <w:tcPr>
            <w:tcW w:w="1085"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2.043</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[2908.7]</w:t>
            </w:r>
          </w:p>
        </w:tc>
        <w:tc>
          <w:tcPr>
            <w:tcW w:w="1398"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-2.772</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[-6.179]</w:t>
            </w:r>
          </w:p>
        </w:tc>
        <w:tc>
          <w:tcPr>
            <w:tcW w:w="1049"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1.604</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[4.763]</w:t>
            </w:r>
          </w:p>
        </w:tc>
        <w:tc>
          <w:tcPr>
            <w:tcW w:w="1106"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0.284</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[2.318]</w:t>
            </w:r>
          </w:p>
        </w:tc>
        <w:tc>
          <w:tcPr>
            <w:tcW w:w="114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 xml:space="preserve"> 0.819</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[19.201]</w:t>
            </w:r>
          </w:p>
        </w:tc>
        <w:tc>
          <w:tcPr>
            <w:tcW w:w="921" w:type="dxa"/>
            <w:shd w:val="pct20" w:color="000000" w:fill="FFFFFF"/>
          </w:tcPr>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17.8</w:t>
            </w:r>
            <w:r w:rsidRPr="00217328">
              <w:rPr>
                <w:rFonts w:ascii="Garamond" w:hAnsi="Garamond"/>
                <w:sz w:val="22"/>
                <w:szCs w:val="22"/>
                <w:vertAlign w:val="superscript"/>
              </w:rPr>
              <w:t>***</w:t>
            </w:r>
          </w:p>
        </w:tc>
        <w:tc>
          <w:tcPr>
            <w:tcW w:w="82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0.393</w:t>
            </w:r>
          </w:p>
        </w:tc>
        <w:tc>
          <w:tcPr>
            <w:tcW w:w="1017"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0.922</w:t>
            </w:r>
          </w:p>
        </w:tc>
        <w:tc>
          <w:tcPr>
            <w:tcW w:w="1105"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-0.831</w:t>
            </w:r>
          </w:p>
        </w:tc>
        <w:tc>
          <w:tcPr>
            <w:tcW w:w="980"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2.713</w:t>
            </w:r>
          </w:p>
        </w:tc>
        <w:tc>
          <w:tcPr>
            <w:tcW w:w="880"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7.059</w:t>
            </w:r>
          </w:p>
        </w:tc>
        <w:tc>
          <w:tcPr>
            <w:tcW w:w="1328"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0.120</w:t>
            </w:r>
          </w:p>
        </w:tc>
      </w:tr>
      <w:tr w:rsidR="004C3A3D" w:rsidRPr="00217328" w:rsidTr="00DD1D97">
        <w:tc>
          <w:tcPr>
            <w:tcW w:w="1133"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Central African Republic</w:t>
            </w:r>
          </w:p>
        </w:tc>
        <w:tc>
          <w:tcPr>
            <w:tcW w:w="1085"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2.0859</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[1627.1]</w:t>
            </w:r>
          </w:p>
        </w:tc>
        <w:tc>
          <w:tcPr>
            <w:tcW w:w="1398"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-1.592</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[-6.709]</w:t>
            </w:r>
          </w:p>
        </w:tc>
        <w:tc>
          <w:tcPr>
            <w:tcW w:w="1049"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1.029</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[5.474]</w:t>
            </w:r>
          </w:p>
        </w:tc>
        <w:tc>
          <w:tcPr>
            <w:tcW w:w="1106"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0.1098</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[2.204]</w:t>
            </w:r>
          </w:p>
        </w:tc>
        <w:tc>
          <w:tcPr>
            <w:tcW w:w="1143"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0.889</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[25.903]</w:t>
            </w:r>
          </w:p>
        </w:tc>
        <w:tc>
          <w:tcPr>
            <w:tcW w:w="921" w:type="dxa"/>
            <w:shd w:val="pct5" w:color="000000" w:fill="FFFFFF"/>
          </w:tcPr>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10.3</w:t>
            </w:r>
            <w:r w:rsidRPr="00217328">
              <w:rPr>
                <w:rFonts w:ascii="Garamond" w:hAnsi="Garamond"/>
                <w:sz w:val="22"/>
                <w:szCs w:val="22"/>
                <w:vertAlign w:val="superscript"/>
              </w:rPr>
              <w:t>***</w:t>
            </w:r>
          </w:p>
        </w:tc>
        <w:tc>
          <w:tcPr>
            <w:tcW w:w="823"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0.150</w:t>
            </w:r>
          </w:p>
        </w:tc>
        <w:tc>
          <w:tcPr>
            <w:tcW w:w="1017"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0.991</w:t>
            </w:r>
          </w:p>
        </w:tc>
        <w:tc>
          <w:tcPr>
            <w:tcW w:w="1105"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-0.319</w:t>
            </w:r>
          </w:p>
        </w:tc>
        <w:tc>
          <w:tcPr>
            <w:tcW w:w="980"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2.403</w:t>
            </w:r>
          </w:p>
        </w:tc>
        <w:tc>
          <w:tcPr>
            <w:tcW w:w="880"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4.575</w:t>
            </w:r>
          </w:p>
        </w:tc>
        <w:tc>
          <w:tcPr>
            <w:tcW w:w="1328"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0.419</w:t>
            </w:r>
          </w:p>
        </w:tc>
      </w:tr>
      <w:tr w:rsidR="004C3A3D" w:rsidRPr="00217328" w:rsidTr="00DD1D97">
        <w:tc>
          <w:tcPr>
            <w:tcW w:w="113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Cote d’Ivoire</w:t>
            </w:r>
          </w:p>
        </w:tc>
        <w:tc>
          <w:tcPr>
            <w:tcW w:w="1085"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2.0229</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[1003.2]</w:t>
            </w:r>
          </w:p>
        </w:tc>
        <w:tc>
          <w:tcPr>
            <w:tcW w:w="1398"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-2.220</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[-7.083]</w:t>
            </w:r>
          </w:p>
        </w:tc>
        <w:tc>
          <w:tcPr>
            <w:tcW w:w="1049"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1.329</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[10.395]</w:t>
            </w:r>
          </w:p>
        </w:tc>
        <w:tc>
          <w:tcPr>
            <w:tcW w:w="1106"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0.204</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[1.838]</w:t>
            </w:r>
          </w:p>
        </w:tc>
        <w:tc>
          <w:tcPr>
            <w:tcW w:w="114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0.8286</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[17.844]</w:t>
            </w:r>
          </w:p>
        </w:tc>
        <w:tc>
          <w:tcPr>
            <w:tcW w:w="921" w:type="dxa"/>
            <w:shd w:val="pct20" w:color="000000" w:fill="FFFFFF"/>
          </w:tcPr>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13.6</w:t>
            </w:r>
            <w:r w:rsidRPr="00217328">
              <w:rPr>
                <w:rFonts w:ascii="Garamond" w:hAnsi="Garamond"/>
                <w:sz w:val="22"/>
                <w:szCs w:val="22"/>
                <w:vertAlign w:val="superscript"/>
              </w:rPr>
              <w:t>***</w:t>
            </w:r>
          </w:p>
        </w:tc>
        <w:tc>
          <w:tcPr>
            <w:tcW w:w="82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0.139</w:t>
            </w:r>
          </w:p>
        </w:tc>
        <w:tc>
          <w:tcPr>
            <w:tcW w:w="1017"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0.994</w:t>
            </w:r>
          </w:p>
        </w:tc>
        <w:tc>
          <w:tcPr>
            <w:tcW w:w="1105"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-0.014</w:t>
            </w:r>
          </w:p>
        </w:tc>
        <w:tc>
          <w:tcPr>
            <w:tcW w:w="980"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2.663</w:t>
            </w:r>
          </w:p>
        </w:tc>
        <w:tc>
          <w:tcPr>
            <w:tcW w:w="880"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0.687</w:t>
            </w:r>
          </w:p>
        </w:tc>
        <w:tc>
          <w:tcPr>
            <w:tcW w:w="1328"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0.116</w:t>
            </w:r>
          </w:p>
        </w:tc>
      </w:tr>
      <w:tr w:rsidR="004C3A3D" w:rsidRPr="00217328" w:rsidTr="00DD1D97">
        <w:tc>
          <w:tcPr>
            <w:tcW w:w="1133"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Ghana</w:t>
            </w:r>
          </w:p>
        </w:tc>
        <w:tc>
          <w:tcPr>
            <w:tcW w:w="1085"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2.1852</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[710.96]</w:t>
            </w:r>
          </w:p>
        </w:tc>
        <w:tc>
          <w:tcPr>
            <w:tcW w:w="1398"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-2.069</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[-7.208]</w:t>
            </w:r>
          </w:p>
        </w:tc>
        <w:tc>
          <w:tcPr>
            <w:tcW w:w="1049"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1.781</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[8.006]</w:t>
            </w:r>
          </w:p>
        </w:tc>
        <w:tc>
          <w:tcPr>
            <w:tcW w:w="1106"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0.149</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[1.804]</w:t>
            </w:r>
          </w:p>
        </w:tc>
        <w:tc>
          <w:tcPr>
            <w:tcW w:w="1143"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0.906</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[30.824]</w:t>
            </w:r>
          </w:p>
        </w:tc>
        <w:tc>
          <w:tcPr>
            <w:tcW w:w="921" w:type="dxa"/>
            <w:shd w:val="pct5" w:color="000000" w:fill="FFFFFF"/>
          </w:tcPr>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10.3</w:t>
            </w:r>
            <w:r w:rsidRPr="00217328">
              <w:rPr>
                <w:rFonts w:ascii="Garamond" w:hAnsi="Garamond"/>
                <w:sz w:val="22"/>
                <w:szCs w:val="22"/>
                <w:vertAlign w:val="superscript"/>
              </w:rPr>
              <w:t>***</w:t>
            </w:r>
          </w:p>
        </w:tc>
        <w:tc>
          <w:tcPr>
            <w:tcW w:w="823"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0.180</w:t>
            </w:r>
          </w:p>
        </w:tc>
        <w:tc>
          <w:tcPr>
            <w:tcW w:w="1017"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0.987</w:t>
            </w:r>
          </w:p>
        </w:tc>
        <w:tc>
          <w:tcPr>
            <w:tcW w:w="1105"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-0.549</w:t>
            </w:r>
          </w:p>
        </w:tc>
        <w:tc>
          <w:tcPr>
            <w:tcW w:w="980"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1.861</w:t>
            </w:r>
          </w:p>
        </w:tc>
        <w:tc>
          <w:tcPr>
            <w:tcW w:w="880"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5.672</w:t>
            </w:r>
          </w:p>
        </w:tc>
        <w:tc>
          <w:tcPr>
            <w:tcW w:w="1328" w:type="dxa"/>
            <w:shd w:val="pct5" w:color="000000" w:fill="FFFFFF"/>
          </w:tcPr>
          <w:p w:rsidR="00171650" w:rsidRPr="00217328" w:rsidRDefault="007B4D27" w:rsidP="007A1404">
            <w:pPr>
              <w:spacing w:line="360" w:lineRule="auto"/>
              <w:rPr>
                <w:rFonts w:ascii="Garamond" w:hAnsi="Garamond"/>
                <w:sz w:val="22"/>
                <w:szCs w:val="22"/>
                <w:vertAlign w:val="superscript"/>
              </w:rPr>
            </w:pPr>
            <w:r w:rsidRPr="00217328">
              <w:rPr>
                <w:rFonts w:ascii="Garamond" w:hAnsi="Garamond"/>
                <w:sz w:val="22"/>
                <w:szCs w:val="22"/>
              </w:rPr>
              <w:t>0</w:t>
            </w:r>
            <w:r w:rsidR="00171650" w:rsidRPr="00217328">
              <w:rPr>
                <w:rFonts w:ascii="Garamond" w:hAnsi="Garamond"/>
                <w:sz w:val="22"/>
                <w:szCs w:val="22"/>
              </w:rPr>
              <w:t>.914</w:t>
            </w:r>
          </w:p>
        </w:tc>
      </w:tr>
      <w:tr w:rsidR="004C3A3D" w:rsidRPr="00217328" w:rsidTr="00DD1D97">
        <w:tc>
          <w:tcPr>
            <w:tcW w:w="113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Kenya</w:t>
            </w:r>
          </w:p>
        </w:tc>
        <w:tc>
          <w:tcPr>
            <w:tcW w:w="1085"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1.9232</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[915.31]</w:t>
            </w:r>
          </w:p>
        </w:tc>
        <w:tc>
          <w:tcPr>
            <w:tcW w:w="1398"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-3.298</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[-[6.827]</w:t>
            </w:r>
          </w:p>
        </w:tc>
        <w:tc>
          <w:tcPr>
            <w:tcW w:w="1049"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1.668</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[10.028]</w:t>
            </w:r>
          </w:p>
        </w:tc>
        <w:tc>
          <w:tcPr>
            <w:tcW w:w="1106"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0.143</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[1.155]</w:t>
            </w:r>
          </w:p>
        </w:tc>
        <w:tc>
          <w:tcPr>
            <w:tcW w:w="114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0.716</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[10.048]</w:t>
            </w:r>
          </w:p>
        </w:tc>
        <w:tc>
          <w:tcPr>
            <w:tcW w:w="921" w:type="dxa"/>
            <w:shd w:val="pct20" w:color="000000" w:fill="FFFFFF"/>
          </w:tcPr>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15.9</w:t>
            </w:r>
            <w:r w:rsidRPr="00217328">
              <w:rPr>
                <w:rFonts w:ascii="Garamond" w:hAnsi="Garamond"/>
                <w:sz w:val="22"/>
                <w:szCs w:val="22"/>
                <w:vertAlign w:val="superscript"/>
              </w:rPr>
              <w:t>***</w:t>
            </w:r>
          </w:p>
        </w:tc>
        <w:tc>
          <w:tcPr>
            <w:tcW w:w="82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0.218</w:t>
            </w:r>
          </w:p>
        </w:tc>
        <w:tc>
          <w:tcPr>
            <w:tcW w:w="1017"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0.979</w:t>
            </w:r>
          </w:p>
        </w:tc>
        <w:tc>
          <w:tcPr>
            <w:tcW w:w="1105"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-0.425</w:t>
            </w:r>
          </w:p>
        </w:tc>
        <w:tc>
          <w:tcPr>
            <w:tcW w:w="980"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2.034</w:t>
            </w:r>
          </w:p>
        </w:tc>
        <w:tc>
          <w:tcPr>
            <w:tcW w:w="880"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6.114</w:t>
            </w:r>
          </w:p>
        </w:tc>
        <w:tc>
          <w:tcPr>
            <w:tcW w:w="1328"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0.476</w:t>
            </w:r>
          </w:p>
        </w:tc>
      </w:tr>
      <w:tr w:rsidR="004C3A3D" w:rsidRPr="00217328" w:rsidTr="00DD1D97">
        <w:tc>
          <w:tcPr>
            <w:tcW w:w="1133"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Nigeria</w:t>
            </w:r>
          </w:p>
        </w:tc>
        <w:tc>
          <w:tcPr>
            <w:tcW w:w="1085"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2.2216</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[2056.7]</w:t>
            </w:r>
          </w:p>
        </w:tc>
        <w:tc>
          <w:tcPr>
            <w:tcW w:w="1398"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-2.498</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[-9.318]</w:t>
            </w:r>
          </w:p>
        </w:tc>
        <w:tc>
          <w:tcPr>
            <w:tcW w:w="1049"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2.094</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[11.972]</w:t>
            </w:r>
          </w:p>
        </w:tc>
        <w:tc>
          <w:tcPr>
            <w:tcW w:w="1106"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0.154</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[2.564]</w:t>
            </w:r>
          </w:p>
        </w:tc>
        <w:tc>
          <w:tcPr>
            <w:tcW w:w="1143"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0.849</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[19.466]</w:t>
            </w:r>
          </w:p>
        </w:tc>
        <w:tc>
          <w:tcPr>
            <w:tcW w:w="921" w:type="dxa"/>
            <w:shd w:val="pct5" w:color="000000" w:fill="FFFFFF"/>
          </w:tcPr>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12.0</w:t>
            </w:r>
            <w:r w:rsidRPr="00217328">
              <w:rPr>
                <w:rFonts w:ascii="Garamond" w:hAnsi="Garamond"/>
                <w:sz w:val="22"/>
                <w:szCs w:val="22"/>
                <w:vertAlign w:val="superscript"/>
              </w:rPr>
              <w:t>***</w:t>
            </w:r>
          </w:p>
        </w:tc>
        <w:tc>
          <w:tcPr>
            <w:tcW w:w="823"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-0.01</w:t>
            </w:r>
          </w:p>
        </w:tc>
        <w:tc>
          <w:tcPr>
            <w:tcW w:w="1017"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1.003</w:t>
            </w:r>
          </w:p>
        </w:tc>
        <w:tc>
          <w:tcPr>
            <w:tcW w:w="1105"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-0.014</w:t>
            </w:r>
          </w:p>
        </w:tc>
        <w:tc>
          <w:tcPr>
            <w:tcW w:w="980"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1.578</w:t>
            </w:r>
          </w:p>
        </w:tc>
        <w:tc>
          <w:tcPr>
            <w:tcW w:w="880"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12.145</w:t>
            </w:r>
          </w:p>
        </w:tc>
        <w:tc>
          <w:tcPr>
            <w:tcW w:w="1328"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1.154</w:t>
            </w:r>
          </w:p>
        </w:tc>
      </w:tr>
      <w:tr w:rsidR="004C3A3D" w:rsidRPr="00217328" w:rsidTr="00DD1D97">
        <w:tc>
          <w:tcPr>
            <w:tcW w:w="113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South Africa</w:t>
            </w:r>
          </w:p>
        </w:tc>
        <w:tc>
          <w:tcPr>
            <w:tcW w:w="1085"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2.0948</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[1546.9]</w:t>
            </w:r>
          </w:p>
        </w:tc>
        <w:tc>
          <w:tcPr>
            <w:tcW w:w="1398"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-3.353</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[-4.424]</w:t>
            </w:r>
          </w:p>
        </w:tc>
        <w:tc>
          <w:tcPr>
            <w:tcW w:w="1049"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1.455</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[9.726]</w:t>
            </w:r>
          </w:p>
        </w:tc>
        <w:tc>
          <w:tcPr>
            <w:tcW w:w="1106"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-0.095</w:t>
            </w:r>
          </w:p>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[-0.926]</w:t>
            </w:r>
          </w:p>
        </w:tc>
        <w:tc>
          <w:tcPr>
            <w:tcW w:w="114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0.648</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[5.223]</w:t>
            </w:r>
          </w:p>
        </w:tc>
        <w:tc>
          <w:tcPr>
            <w:tcW w:w="921" w:type="dxa"/>
            <w:shd w:val="pct20" w:color="000000" w:fill="FFFFFF"/>
          </w:tcPr>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8.1</w:t>
            </w:r>
            <w:r w:rsidRPr="00217328">
              <w:rPr>
                <w:rFonts w:ascii="Garamond" w:hAnsi="Garamond"/>
                <w:sz w:val="22"/>
                <w:szCs w:val="22"/>
                <w:vertAlign w:val="superscript"/>
              </w:rPr>
              <w:t>***</w:t>
            </w:r>
          </w:p>
        </w:tc>
        <w:tc>
          <w:tcPr>
            <w:tcW w:w="82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-0.047</w:t>
            </w:r>
          </w:p>
          <w:p w:rsidR="00171650" w:rsidRPr="00217328" w:rsidRDefault="00171650" w:rsidP="007A1404">
            <w:pPr>
              <w:spacing w:line="360" w:lineRule="auto"/>
              <w:rPr>
                <w:rFonts w:ascii="Garamond" w:hAnsi="Garamond"/>
                <w:sz w:val="22"/>
                <w:szCs w:val="22"/>
              </w:rPr>
            </w:pPr>
          </w:p>
        </w:tc>
        <w:tc>
          <w:tcPr>
            <w:tcW w:w="1017"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1.002</w:t>
            </w:r>
          </w:p>
        </w:tc>
        <w:tc>
          <w:tcPr>
            <w:tcW w:w="1105"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0.298</w:t>
            </w:r>
          </w:p>
        </w:tc>
        <w:tc>
          <w:tcPr>
            <w:tcW w:w="980"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3.628</w:t>
            </w:r>
          </w:p>
        </w:tc>
        <w:tc>
          <w:tcPr>
            <w:tcW w:w="880"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4.506</w:t>
            </w:r>
          </w:p>
        </w:tc>
        <w:tc>
          <w:tcPr>
            <w:tcW w:w="1328"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0.128</w:t>
            </w:r>
          </w:p>
        </w:tc>
      </w:tr>
      <w:tr w:rsidR="004C3A3D" w:rsidRPr="00217328" w:rsidTr="00DD1D97">
        <w:tc>
          <w:tcPr>
            <w:tcW w:w="1133"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Tanzania</w:t>
            </w:r>
          </w:p>
        </w:tc>
        <w:tc>
          <w:tcPr>
            <w:tcW w:w="1085"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2.1783</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[705.1]</w:t>
            </w:r>
          </w:p>
        </w:tc>
        <w:tc>
          <w:tcPr>
            <w:tcW w:w="1398"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-2.029</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[-7.252]</w:t>
            </w:r>
          </w:p>
        </w:tc>
        <w:tc>
          <w:tcPr>
            <w:tcW w:w="1049"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 xml:space="preserve">  1.417</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[10.938]</w:t>
            </w:r>
          </w:p>
        </w:tc>
        <w:tc>
          <w:tcPr>
            <w:tcW w:w="1106"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-0.021</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[-0.318]</w:t>
            </w:r>
          </w:p>
        </w:tc>
        <w:tc>
          <w:tcPr>
            <w:tcW w:w="1143"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0.829</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[14.917]</w:t>
            </w:r>
          </w:p>
        </w:tc>
        <w:tc>
          <w:tcPr>
            <w:tcW w:w="921" w:type="dxa"/>
            <w:shd w:val="pct5" w:color="000000" w:fill="FFFFFF"/>
          </w:tcPr>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9.4</w:t>
            </w:r>
            <w:r w:rsidRPr="00217328">
              <w:rPr>
                <w:rFonts w:ascii="Garamond" w:hAnsi="Garamond"/>
                <w:sz w:val="22"/>
                <w:szCs w:val="22"/>
                <w:vertAlign w:val="superscript"/>
              </w:rPr>
              <w:t>***</w:t>
            </w:r>
          </w:p>
        </w:tc>
        <w:tc>
          <w:tcPr>
            <w:tcW w:w="823"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0.023</w:t>
            </w:r>
          </w:p>
        </w:tc>
        <w:tc>
          <w:tcPr>
            <w:tcW w:w="1017"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1.003</w:t>
            </w:r>
          </w:p>
        </w:tc>
        <w:tc>
          <w:tcPr>
            <w:tcW w:w="1105"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-0.128</w:t>
            </w:r>
          </w:p>
        </w:tc>
        <w:tc>
          <w:tcPr>
            <w:tcW w:w="980"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1.667</w:t>
            </w:r>
          </w:p>
        </w:tc>
        <w:tc>
          <w:tcPr>
            <w:tcW w:w="880"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11.055</w:t>
            </w:r>
          </w:p>
        </w:tc>
        <w:tc>
          <w:tcPr>
            <w:tcW w:w="1328" w:type="dxa"/>
            <w:shd w:val="pct5"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0.675</w:t>
            </w:r>
          </w:p>
        </w:tc>
      </w:tr>
      <w:tr w:rsidR="004C3A3D" w:rsidRPr="00217328" w:rsidTr="00DD1D97">
        <w:tc>
          <w:tcPr>
            <w:tcW w:w="113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Zambia</w:t>
            </w:r>
          </w:p>
        </w:tc>
        <w:tc>
          <w:tcPr>
            <w:tcW w:w="1085"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2.0353</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[1068.5]</w:t>
            </w:r>
          </w:p>
        </w:tc>
        <w:tc>
          <w:tcPr>
            <w:tcW w:w="1398"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 xml:space="preserve">  4.745</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[-21.709]</w:t>
            </w:r>
          </w:p>
        </w:tc>
        <w:tc>
          <w:tcPr>
            <w:tcW w:w="1049"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 xml:space="preserve">  2.438</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[13.192]</w:t>
            </w:r>
          </w:p>
        </w:tc>
        <w:tc>
          <w:tcPr>
            <w:tcW w:w="1106"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-0.529</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[-3.304]</w:t>
            </w:r>
          </w:p>
        </w:tc>
        <w:tc>
          <w:tcPr>
            <w:tcW w:w="114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0.415</w:t>
            </w:r>
            <w:r w:rsidRPr="00217328">
              <w:rPr>
                <w:rFonts w:ascii="Garamond" w:hAnsi="Garamond"/>
                <w:sz w:val="22"/>
                <w:szCs w:val="22"/>
                <w:vertAlign w:val="superscript"/>
              </w:rPr>
              <w:t>***</w:t>
            </w:r>
          </w:p>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[8.417]</w:t>
            </w:r>
          </w:p>
        </w:tc>
        <w:tc>
          <w:tcPr>
            <w:tcW w:w="921" w:type="dxa"/>
            <w:shd w:val="pct20" w:color="000000" w:fill="FFFFFF"/>
          </w:tcPr>
          <w:p w:rsidR="00171650" w:rsidRPr="00217328" w:rsidRDefault="00171650" w:rsidP="007A1404">
            <w:pPr>
              <w:spacing w:line="360" w:lineRule="auto"/>
              <w:rPr>
                <w:rFonts w:ascii="Garamond" w:hAnsi="Garamond"/>
                <w:sz w:val="22"/>
                <w:szCs w:val="22"/>
                <w:vertAlign w:val="superscript"/>
              </w:rPr>
            </w:pPr>
            <w:r w:rsidRPr="00217328">
              <w:rPr>
                <w:rFonts w:ascii="Garamond" w:hAnsi="Garamond"/>
                <w:sz w:val="22"/>
                <w:szCs w:val="22"/>
              </w:rPr>
              <w:t>140.8</w:t>
            </w:r>
            <w:r w:rsidRPr="00217328">
              <w:rPr>
                <w:rFonts w:ascii="Garamond" w:hAnsi="Garamond"/>
                <w:sz w:val="22"/>
                <w:szCs w:val="22"/>
                <w:vertAlign w:val="superscript"/>
              </w:rPr>
              <w:t>***</w:t>
            </w:r>
          </w:p>
        </w:tc>
        <w:tc>
          <w:tcPr>
            <w:tcW w:w="823"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-0.150</w:t>
            </w:r>
          </w:p>
        </w:tc>
        <w:tc>
          <w:tcPr>
            <w:tcW w:w="1017"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1.039</w:t>
            </w:r>
          </w:p>
        </w:tc>
        <w:tc>
          <w:tcPr>
            <w:tcW w:w="1105"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0.202</w:t>
            </w:r>
          </w:p>
        </w:tc>
        <w:tc>
          <w:tcPr>
            <w:tcW w:w="980"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4.495</w:t>
            </w:r>
          </w:p>
        </w:tc>
        <w:tc>
          <w:tcPr>
            <w:tcW w:w="880"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14.399</w:t>
            </w:r>
          </w:p>
        </w:tc>
        <w:tc>
          <w:tcPr>
            <w:tcW w:w="1328" w:type="dxa"/>
            <w:shd w:val="pct20" w:color="000000" w:fill="FFFFFF"/>
          </w:tcPr>
          <w:p w:rsidR="00171650" w:rsidRPr="00217328" w:rsidRDefault="00171650" w:rsidP="007A1404">
            <w:pPr>
              <w:spacing w:line="360" w:lineRule="auto"/>
              <w:rPr>
                <w:rFonts w:ascii="Garamond" w:hAnsi="Garamond"/>
                <w:sz w:val="22"/>
                <w:szCs w:val="22"/>
              </w:rPr>
            </w:pPr>
            <w:r w:rsidRPr="00217328">
              <w:rPr>
                <w:rFonts w:ascii="Garamond" w:hAnsi="Garamond"/>
                <w:sz w:val="22"/>
                <w:szCs w:val="22"/>
              </w:rPr>
              <w:t>1.341</w:t>
            </w:r>
          </w:p>
        </w:tc>
      </w:tr>
    </w:tbl>
    <w:p w:rsidR="00171650" w:rsidRPr="00217328" w:rsidRDefault="00171650" w:rsidP="007A1404">
      <w:pPr>
        <w:spacing w:line="360" w:lineRule="auto"/>
        <w:rPr>
          <w:rFonts w:ascii="Garamond" w:hAnsi="Garamond"/>
          <w:b/>
        </w:rPr>
      </w:pPr>
      <w:r w:rsidRPr="00217328">
        <w:rPr>
          <w:rFonts w:ascii="Garamond" w:hAnsi="Garamond"/>
          <w:i/>
          <w:sz w:val="20"/>
          <w:szCs w:val="20"/>
        </w:rPr>
        <w:t>Note</w:t>
      </w:r>
      <w:r w:rsidRPr="00217328">
        <w:rPr>
          <w:rFonts w:ascii="Garamond" w:hAnsi="Garamond"/>
          <w:sz w:val="20"/>
          <w:szCs w:val="20"/>
        </w:rPr>
        <w:t>: The values in square brackets [ ] are the t-statistic, and ***, ** and * implies statistical significance at the 1 %, 5 %, and 10 %, respectively.</w:t>
      </w:r>
    </w:p>
    <w:p w:rsidR="00171650" w:rsidRPr="00217328" w:rsidRDefault="00171650" w:rsidP="00432C32">
      <w:pPr>
        <w:spacing w:line="360" w:lineRule="auto"/>
        <w:jc w:val="both"/>
        <w:rPr>
          <w:rFonts w:ascii="Garamond" w:hAnsi="Garamond"/>
          <w:b/>
        </w:rPr>
        <w:sectPr w:rsidR="00171650" w:rsidRPr="00217328" w:rsidSect="007A1404">
          <w:pgSz w:w="15840" w:h="12240" w:orient="landscape"/>
          <w:pgMar w:top="900" w:right="1440" w:bottom="1530" w:left="1440" w:header="709" w:footer="709" w:gutter="0"/>
          <w:cols w:space="708"/>
          <w:titlePg/>
          <w:docGrid w:linePitch="360"/>
        </w:sectPr>
      </w:pPr>
    </w:p>
    <w:p w:rsidR="00171650" w:rsidRPr="00217328" w:rsidRDefault="004B7809" w:rsidP="00432C32">
      <w:pPr>
        <w:spacing w:line="360" w:lineRule="auto"/>
        <w:jc w:val="both"/>
        <w:rPr>
          <w:rFonts w:ascii="Garamond" w:hAnsi="Garamond"/>
        </w:rPr>
      </w:pPr>
      <w:r>
        <w:rPr>
          <w:rFonts w:ascii="Garamond" w:hAnsi="Garamond"/>
          <w:noProof/>
          <w:lang w:val="en-US"/>
        </w:rPr>
        <w:lastRenderedPageBreak/>
        <w:drawing>
          <wp:anchor distT="0" distB="0" distL="114300" distR="114300" simplePos="0" relativeHeight="251655680" behindDoc="0" locked="0" layoutInCell="1" allowOverlap="1">
            <wp:simplePos x="0" y="0"/>
            <wp:positionH relativeFrom="column">
              <wp:posOffset>-704850</wp:posOffset>
            </wp:positionH>
            <wp:positionV relativeFrom="paragraph">
              <wp:posOffset>29845</wp:posOffset>
            </wp:positionV>
            <wp:extent cx="3429000" cy="3086100"/>
            <wp:effectExtent l="19050" t="0" r="0"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srcRect/>
                    <a:stretch>
                      <a:fillRect/>
                    </a:stretch>
                  </pic:blipFill>
                  <pic:spPr bwMode="auto">
                    <a:xfrm>
                      <a:off x="0" y="0"/>
                      <a:ext cx="3429000" cy="3086100"/>
                    </a:xfrm>
                    <a:prstGeom prst="rect">
                      <a:avLst/>
                    </a:prstGeom>
                    <a:noFill/>
                    <a:ln w="9525">
                      <a:noFill/>
                      <a:miter lim="800000"/>
                      <a:headEnd/>
                      <a:tailEnd/>
                    </a:ln>
                  </pic:spPr>
                </pic:pic>
              </a:graphicData>
            </a:graphic>
          </wp:anchor>
        </w:drawing>
      </w:r>
      <w:r>
        <w:rPr>
          <w:rFonts w:ascii="Garamond" w:hAnsi="Garamond"/>
          <w:noProof/>
          <w:lang w:val="en-US"/>
        </w:rPr>
        <w:drawing>
          <wp:inline distT="0" distB="0" distL="0" distR="0">
            <wp:extent cx="3429000" cy="32004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7"/>
                    <a:srcRect/>
                    <a:stretch>
                      <a:fillRect/>
                    </a:stretch>
                  </pic:blipFill>
                  <pic:spPr bwMode="auto">
                    <a:xfrm>
                      <a:off x="0" y="0"/>
                      <a:ext cx="3429000" cy="3200400"/>
                    </a:xfrm>
                    <a:prstGeom prst="rect">
                      <a:avLst/>
                    </a:prstGeom>
                    <a:noFill/>
                    <a:ln w="9525">
                      <a:noFill/>
                      <a:miter lim="800000"/>
                      <a:headEnd/>
                      <a:tailEnd/>
                    </a:ln>
                  </pic:spPr>
                </pic:pic>
              </a:graphicData>
            </a:graphic>
          </wp:inline>
        </w:drawing>
      </w:r>
    </w:p>
    <w:p w:rsidR="00171650" w:rsidRPr="00217328" w:rsidRDefault="00171650" w:rsidP="00432C32">
      <w:pPr>
        <w:spacing w:line="360" w:lineRule="auto"/>
        <w:jc w:val="both"/>
        <w:rPr>
          <w:rFonts w:ascii="Garamond" w:hAnsi="Garamond"/>
        </w:rPr>
      </w:pPr>
    </w:p>
    <w:p w:rsidR="00171650" w:rsidRPr="00217328" w:rsidRDefault="00171650" w:rsidP="00432C32">
      <w:pPr>
        <w:spacing w:line="360" w:lineRule="auto"/>
        <w:jc w:val="both"/>
        <w:rPr>
          <w:rFonts w:ascii="Garamond" w:hAnsi="Garamond"/>
        </w:rPr>
      </w:pPr>
    </w:p>
    <w:p w:rsidR="00171650" w:rsidRPr="00217328" w:rsidRDefault="004B7809" w:rsidP="00432C32">
      <w:pPr>
        <w:spacing w:line="360" w:lineRule="auto"/>
        <w:jc w:val="both"/>
        <w:rPr>
          <w:rFonts w:ascii="Garamond" w:hAnsi="Garamond"/>
        </w:rPr>
      </w:pPr>
      <w:r>
        <w:rPr>
          <w:rFonts w:ascii="Garamond" w:hAnsi="Garamond" w:cs="Arial"/>
          <w:noProof/>
          <w:lang w:val="en-US"/>
        </w:rPr>
        <w:drawing>
          <wp:anchor distT="0" distB="0" distL="114300" distR="114300" simplePos="0" relativeHeight="251656704" behindDoc="0" locked="0" layoutInCell="1" allowOverlap="1">
            <wp:simplePos x="0" y="0"/>
            <wp:positionH relativeFrom="column">
              <wp:posOffset>-857250</wp:posOffset>
            </wp:positionH>
            <wp:positionV relativeFrom="paragraph">
              <wp:posOffset>57150</wp:posOffset>
            </wp:positionV>
            <wp:extent cx="3581400" cy="3672840"/>
            <wp:effectExtent l="19050" t="0" r="0" b="0"/>
            <wp:wrapSquare wrapText="r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srcRect/>
                    <a:stretch>
                      <a:fillRect/>
                    </a:stretch>
                  </pic:blipFill>
                  <pic:spPr bwMode="auto">
                    <a:xfrm>
                      <a:off x="0" y="0"/>
                      <a:ext cx="3581400" cy="3672840"/>
                    </a:xfrm>
                    <a:prstGeom prst="rect">
                      <a:avLst/>
                    </a:prstGeom>
                    <a:noFill/>
                    <a:ln w="9525">
                      <a:noFill/>
                      <a:miter lim="800000"/>
                      <a:headEnd/>
                      <a:tailEnd/>
                    </a:ln>
                  </pic:spPr>
                </pic:pic>
              </a:graphicData>
            </a:graphic>
          </wp:anchor>
        </w:drawing>
      </w:r>
      <w:r>
        <w:rPr>
          <w:rFonts w:ascii="Garamond" w:hAnsi="Garamond"/>
          <w:noProof/>
          <w:lang w:val="en-US"/>
        </w:rPr>
        <w:drawing>
          <wp:inline distT="0" distB="0" distL="0" distR="0">
            <wp:extent cx="3400425" cy="363855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9"/>
                    <a:srcRect/>
                    <a:stretch>
                      <a:fillRect/>
                    </a:stretch>
                  </pic:blipFill>
                  <pic:spPr bwMode="auto">
                    <a:xfrm>
                      <a:off x="0" y="0"/>
                      <a:ext cx="3400425" cy="3638550"/>
                    </a:xfrm>
                    <a:prstGeom prst="rect">
                      <a:avLst/>
                    </a:prstGeom>
                    <a:noFill/>
                    <a:ln w="9525">
                      <a:noFill/>
                      <a:miter lim="800000"/>
                      <a:headEnd/>
                      <a:tailEnd/>
                    </a:ln>
                  </pic:spPr>
                </pic:pic>
              </a:graphicData>
            </a:graphic>
          </wp:inline>
        </w:drawing>
      </w:r>
      <w:r w:rsidR="00171650" w:rsidRPr="00217328">
        <w:rPr>
          <w:rFonts w:ascii="Garamond" w:hAnsi="Garamond"/>
        </w:rPr>
        <w:tab/>
      </w:r>
    </w:p>
    <w:p w:rsidR="00171650" w:rsidRPr="00217328" w:rsidRDefault="00171650" w:rsidP="00432C32">
      <w:pPr>
        <w:spacing w:line="360" w:lineRule="auto"/>
        <w:jc w:val="both"/>
        <w:rPr>
          <w:rFonts w:ascii="Garamond" w:hAnsi="Garamond"/>
        </w:rPr>
      </w:pPr>
    </w:p>
    <w:p w:rsidR="00171650" w:rsidRPr="00217328" w:rsidRDefault="00171650" w:rsidP="00432C32">
      <w:pPr>
        <w:spacing w:line="360" w:lineRule="auto"/>
        <w:jc w:val="both"/>
        <w:rPr>
          <w:rFonts w:ascii="Garamond" w:hAnsi="Garamond"/>
        </w:rPr>
      </w:pPr>
    </w:p>
    <w:p w:rsidR="00F3793B" w:rsidRPr="00217328" w:rsidRDefault="004B7809" w:rsidP="00432C32">
      <w:pPr>
        <w:spacing w:line="360" w:lineRule="auto"/>
        <w:jc w:val="both"/>
        <w:rPr>
          <w:rFonts w:ascii="Garamond" w:hAnsi="Garamond" w:cs="Arial"/>
        </w:rPr>
      </w:pPr>
      <w:r>
        <w:rPr>
          <w:rFonts w:ascii="Garamond" w:hAnsi="Garamond" w:cs="Arial"/>
          <w:noProof/>
          <w:lang w:val="en-US"/>
        </w:rPr>
        <w:lastRenderedPageBreak/>
        <w:drawing>
          <wp:anchor distT="0" distB="0" distL="114300" distR="114300" simplePos="0" relativeHeight="251659776" behindDoc="0" locked="0" layoutInCell="1" allowOverlap="1">
            <wp:simplePos x="0" y="0"/>
            <wp:positionH relativeFrom="column">
              <wp:posOffset>2907030</wp:posOffset>
            </wp:positionH>
            <wp:positionV relativeFrom="paragraph">
              <wp:posOffset>3838575</wp:posOffset>
            </wp:positionV>
            <wp:extent cx="3430905" cy="3867150"/>
            <wp:effectExtent l="19050" t="0" r="0" b="0"/>
            <wp:wrapSquare wrapText="r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0"/>
                    <a:srcRect/>
                    <a:stretch>
                      <a:fillRect/>
                    </a:stretch>
                  </pic:blipFill>
                  <pic:spPr bwMode="auto">
                    <a:xfrm>
                      <a:off x="0" y="0"/>
                      <a:ext cx="3430905" cy="3867150"/>
                    </a:xfrm>
                    <a:prstGeom prst="rect">
                      <a:avLst/>
                    </a:prstGeom>
                    <a:noFill/>
                    <a:ln w="9525">
                      <a:noFill/>
                      <a:miter lim="800000"/>
                      <a:headEnd/>
                      <a:tailEnd/>
                    </a:ln>
                  </pic:spPr>
                </pic:pic>
              </a:graphicData>
            </a:graphic>
          </wp:anchor>
        </w:drawing>
      </w:r>
      <w:r>
        <w:rPr>
          <w:rFonts w:ascii="Garamond" w:hAnsi="Garamond" w:cs="Arial"/>
          <w:noProof/>
          <w:lang w:val="en-US"/>
        </w:rPr>
        <w:drawing>
          <wp:anchor distT="0" distB="0" distL="114300" distR="114300" simplePos="0" relativeHeight="251658752" behindDoc="0" locked="0" layoutInCell="1" allowOverlap="1">
            <wp:simplePos x="0" y="0"/>
            <wp:positionH relativeFrom="column">
              <wp:posOffset>-773430</wp:posOffset>
            </wp:positionH>
            <wp:positionV relativeFrom="paragraph">
              <wp:posOffset>3838575</wp:posOffset>
            </wp:positionV>
            <wp:extent cx="3442335" cy="4000500"/>
            <wp:effectExtent l="19050" t="0" r="5715" b="0"/>
            <wp:wrapSquare wrapText="r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1"/>
                    <a:srcRect/>
                    <a:stretch>
                      <a:fillRect/>
                    </a:stretch>
                  </pic:blipFill>
                  <pic:spPr bwMode="auto">
                    <a:xfrm>
                      <a:off x="0" y="0"/>
                      <a:ext cx="3442335" cy="4000500"/>
                    </a:xfrm>
                    <a:prstGeom prst="rect">
                      <a:avLst/>
                    </a:prstGeom>
                    <a:noFill/>
                    <a:ln w="9525">
                      <a:noFill/>
                      <a:miter lim="800000"/>
                      <a:headEnd/>
                      <a:tailEnd/>
                    </a:ln>
                  </pic:spPr>
                </pic:pic>
              </a:graphicData>
            </a:graphic>
          </wp:anchor>
        </w:drawing>
      </w:r>
      <w:r>
        <w:rPr>
          <w:rFonts w:ascii="Garamond" w:hAnsi="Garamond" w:cs="Arial"/>
          <w:noProof/>
          <w:lang w:val="en-US"/>
        </w:rPr>
        <w:drawing>
          <wp:anchor distT="0" distB="0" distL="114300" distR="114300" simplePos="0" relativeHeight="251657728" behindDoc="0" locked="0" layoutInCell="1" allowOverlap="1">
            <wp:simplePos x="0" y="0"/>
            <wp:positionH relativeFrom="column">
              <wp:posOffset>-657225</wp:posOffset>
            </wp:positionH>
            <wp:positionV relativeFrom="paragraph">
              <wp:posOffset>28575</wp:posOffset>
            </wp:positionV>
            <wp:extent cx="3198495" cy="3657600"/>
            <wp:effectExtent l="19050" t="0" r="1905" b="0"/>
            <wp:wrapSquare wrapText="r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a:srcRect/>
                    <a:stretch>
                      <a:fillRect/>
                    </a:stretch>
                  </pic:blipFill>
                  <pic:spPr bwMode="auto">
                    <a:xfrm>
                      <a:off x="0" y="0"/>
                      <a:ext cx="3198495" cy="3657600"/>
                    </a:xfrm>
                    <a:prstGeom prst="rect">
                      <a:avLst/>
                    </a:prstGeom>
                    <a:noFill/>
                    <a:ln w="9525">
                      <a:noFill/>
                      <a:miter lim="800000"/>
                      <a:headEnd/>
                      <a:tailEnd/>
                    </a:ln>
                  </pic:spPr>
                </pic:pic>
              </a:graphicData>
            </a:graphic>
          </wp:anchor>
        </w:drawing>
      </w:r>
      <w:r>
        <w:rPr>
          <w:rFonts w:ascii="Garamond" w:hAnsi="Garamond"/>
          <w:noProof/>
          <w:lang w:val="en-US"/>
        </w:rPr>
        <w:drawing>
          <wp:inline distT="0" distB="0" distL="0" distR="0">
            <wp:extent cx="3314700" cy="36576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a:srcRect/>
                    <a:stretch>
                      <a:fillRect/>
                    </a:stretch>
                  </pic:blipFill>
                  <pic:spPr bwMode="auto">
                    <a:xfrm>
                      <a:off x="0" y="0"/>
                      <a:ext cx="3314700" cy="3657600"/>
                    </a:xfrm>
                    <a:prstGeom prst="rect">
                      <a:avLst/>
                    </a:prstGeom>
                    <a:noFill/>
                    <a:ln w="9525">
                      <a:noFill/>
                      <a:miter lim="800000"/>
                      <a:headEnd/>
                      <a:tailEnd/>
                    </a:ln>
                  </pic:spPr>
                </pic:pic>
              </a:graphicData>
            </a:graphic>
          </wp:inline>
        </w:drawing>
      </w:r>
    </w:p>
    <w:p w:rsidR="00F3793B" w:rsidRPr="00217328" w:rsidRDefault="00F3793B" w:rsidP="00432C32">
      <w:pPr>
        <w:spacing w:line="360" w:lineRule="auto"/>
        <w:jc w:val="both"/>
        <w:rPr>
          <w:rFonts w:ascii="Garamond" w:hAnsi="Garamond" w:cs="Arial"/>
        </w:rPr>
      </w:pPr>
    </w:p>
    <w:p w:rsidR="00F3793B" w:rsidRPr="00217328" w:rsidRDefault="00F3793B" w:rsidP="00432C32">
      <w:pPr>
        <w:spacing w:line="360" w:lineRule="auto"/>
        <w:jc w:val="both"/>
        <w:rPr>
          <w:rFonts w:ascii="Garamond" w:hAnsi="Garamond" w:cs="Arial"/>
        </w:rPr>
      </w:pPr>
    </w:p>
    <w:p w:rsidR="007F3E88" w:rsidRPr="00217328" w:rsidRDefault="004B7809" w:rsidP="00432C32">
      <w:pPr>
        <w:spacing w:line="360" w:lineRule="auto"/>
        <w:jc w:val="both"/>
        <w:rPr>
          <w:rFonts w:ascii="Garamond" w:hAnsi="Garamond" w:cs="Arial"/>
        </w:rPr>
      </w:pPr>
      <w:r>
        <w:rPr>
          <w:rFonts w:ascii="Garamond" w:hAnsi="Garamond"/>
          <w:noProof/>
          <w:lang w:val="en-US"/>
        </w:rPr>
        <w:lastRenderedPageBreak/>
        <w:drawing>
          <wp:inline distT="0" distB="0" distL="0" distR="0">
            <wp:extent cx="4686300" cy="31623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4"/>
                    <a:srcRect/>
                    <a:stretch>
                      <a:fillRect/>
                    </a:stretch>
                  </pic:blipFill>
                  <pic:spPr bwMode="auto">
                    <a:xfrm>
                      <a:off x="0" y="0"/>
                      <a:ext cx="4686300" cy="3162300"/>
                    </a:xfrm>
                    <a:prstGeom prst="rect">
                      <a:avLst/>
                    </a:prstGeom>
                    <a:noFill/>
                    <a:ln w="9525">
                      <a:noFill/>
                      <a:miter lim="800000"/>
                      <a:headEnd/>
                      <a:tailEnd/>
                    </a:ln>
                  </pic:spPr>
                </pic:pic>
              </a:graphicData>
            </a:graphic>
          </wp:inline>
        </w:drawing>
      </w:r>
    </w:p>
    <w:p w:rsidR="00BB262B" w:rsidRPr="00217328" w:rsidRDefault="003561E1" w:rsidP="00432C32">
      <w:pPr>
        <w:spacing w:line="360" w:lineRule="auto"/>
        <w:jc w:val="both"/>
        <w:rPr>
          <w:rFonts w:ascii="Garamond" w:hAnsi="Garamond" w:cs="Arial"/>
        </w:rPr>
      </w:pPr>
      <w:r w:rsidRPr="00217328">
        <w:rPr>
          <w:rFonts w:ascii="Garamond" w:hAnsi="Garamond" w:cs="Arial"/>
        </w:rPr>
        <w:t>The estimated results</w:t>
      </w:r>
      <w:r w:rsidR="00BB262B" w:rsidRPr="00217328">
        <w:rPr>
          <w:rFonts w:ascii="Garamond" w:hAnsi="Garamond" w:cs="Arial"/>
        </w:rPr>
        <w:t>, employing</w:t>
      </w:r>
      <w:r w:rsidRPr="00217328">
        <w:rPr>
          <w:rFonts w:ascii="Garamond" w:hAnsi="Garamond" w:cs="Arial"/>
        </w:rPr>
        <w:t xml:space="preserve"> the fixed effects model are reported in Table 6. All the diagnostic tests reveal consistent and reliable estimates. </w:t>
      </w:r>
      <w:r w:rsidR="00BB262B" w:rsidRPr="00217328">
        <w:rPr>
          <w:rFonts w:ascii="Garamond" w:hAnsi="Garamond" w:cs="Arial"/>
        </w:rPr>
        <w:t xml:space="preserve">There </w:t>
      </w:r>
      <w:r w:rsidR="0008149A" w:rsidRPr="00217328">
        <w:rPr>
          <w:rFonts w:ascii="Garamond" w:hAnsi="Garamond" w:cs="Arial"/>
        </w:rPr>
        <w:t>is neither</w:t>
      </w:r>
      <w:r w:rsidR="00BB262B" w:rsidRPr="00217328">
        <w:rPr>
          <w:rFonts w:ascii="Garamond" w:hAnsi="Garamond" w:cs="Arial"/>
        </w:rPr>
        <w:t xml:space="preserve"> evidence of serial correlation of the residuals nor differences in residual variance across countries and time. The residuals are also normally distributed. </w:t>
      </w:r>
    </w:p>
    <w:p w:rsidR="00634889" w:rsidRDefault="00634889" w:rsidP="00432C32">
      <w:pPr>
        <w:spacing w:line="360" w:lineRule="auto"/>
        <w:jc w:val="both"/>
        <w:rPr>
          <w:rFonts w:ascii="Garamond" w:hAnsi="Garamond" w:cs="Arial"/>
        </w:rPr>
      </w:pPr>
    </w:p>
    <w:p w:rsidR="003561E1" w:rsidRPr="00217328" w:rsidRDefault="00507419" w:rsidP="00432C32">
      <w:pPr>
        <w:spacing w:line="360" w:lineRule="auto"/>
        <w:jc w:val="both"/>
        <w:rPr>
          <w:rFonts w:ascii="Garamond" w:hAnsi="Garamond" w:cs="Arial"/>
        </w:rPr>
      </w:pPr>
      <w:r w:rsidRPr="00217328">
        <w:rPr>
          <w:rFonts w:ascii="Garamond" w:hAnsi="Garamond" w:cs="Arial"/>
        </w:rPr>
        <w:t>T</w:t>
      </w:r>
      <w:r w:rsidR="003561E1" w:rsidRPr="00217328">
        <w:rPr>
          <w:rFonts w:ascii="Garamond" w:hAnsi="Garamond" w:cs="Arial"/>
        </w:rPr>
        <w:t xml:space="preserve">he results consistently establish negative effects of exchange rate volatility on FDI inflows in all the cases with significant impact </w:t>
      </w:r>
      <w:r w:rsidR="00D3037F" w:rsidRPr="00217328">
        <w:rPr>
          <w:rFonts w:ascii="Garamond" w:hAnsi="Garamond" w:cs="Arial"/>
        </w:rPr>
        <w:t>at 1% for all the countries and non-CFA countries, and 10% for the CFA countries</w:t>
      </w:r>
      <w:r w:rsidR="003561E1" w:rsidRPr="00217328">
        <w:rPr>
          <w:rFonts w:ascii="Garamond" w:hAnsi="Garamond" w:cs="Arial"/>
        </w:rPr>
        <w:t xml:space="preserve">. The </w:t>
      </w:r>
      <w:r w:rsidR="00980777" w:rsidRPr="00217328">
        <w:rPr>
          <w:rFonts w:ascii="Garamond" w:hAnsi="Garamond" w:cs="Arial"/>
        </w:rPr>
        <w:t xml:space="preserve">group of </w:t>
      </w:r>
      <w:r w:rsidR="003561E1" w:rsidRPr="00217328">
        <w:rPr>
          <w:rFonts w:ascii="Garamond" w:hAnsi="Garamond" w:cs="Arial"/>
        </w:rPr>
        <w:t xml:space="preserve">non-CFA countries </w:t>
      </w:r>
      <w:r w:rsidR="00980777" w:rsidRPr="00217328">
        <w:rPr>
          <w:rFonts w:ascii="Garamond" w:hAnsi="Garamond" w:cs="Arial"/>
        </w:rPr>
        <w:t>has</w:t>
      </w:r>
      <w:r w:rsidR="003561E1" w:rsidRPr="00217328">
        <w:rPr>
          <w:rFonts w:ascii="Garamond" w:hAnsi="Garamond" w:cs="Arial"/>
        </w:rPr>
        <w:t xml:space="preserve"> th</w:t>
      </w:r>
      <w:r w:rsidR="00BB262B" w:rsidRPr="00217328">
        <w:rPr>
          <w:rFonts w:ascii="Garamond" w:hAnsi="Garamond" w:cs="Arial"/>
        </w:rPr>
        <w:t>e highest estimated coefficient</w:t>
      </w:r>
      <w:r w:rsidR="00980777" w:rsidRPr="00217328">
        <w:rPr>
          <w:rFonts w:ascii="Garamond" w:hAnsi="Garamond" w:cs="Arial"/>
        </w:rPr>
        <w:t xml:space="preserve"> and statistical significance</w:t>
      </w:r>
      <w:r w:rsidR="003561E1" w:rsidRPr="00217328">
        <w:rPr>
          <w:rFonts w:ascii="Garamond" w:hAnsi="Garamond" w:cs="Arial"/>
        </w:rPr>
        <w:t xml:space="preserve">. Although both the exchange rate levels and investors’ risk attitude have the expected signs, statistically significant </w:t>
      </w:r>
      <w:r w:rsidR="00980777" w:rsidRPr="00217328">
        <w:rPr>
          <w:rFonts w:ascii="Garamond" w:hAnsi="Garamond" w:cs="Arial"/>
        </w:rPr>
        <w:t xml:space="preserve">effect is established only in the case of risk attitude for all the countries combined. </w:t>
      </w:r>
      <w:r w:rsidR="003561E1" w:rsidRPr="00217328">
        <w:rPr>
          <w:rFonts w:ascii="Garamond" w:hAnsi="Garamond" w:cs="Arial"/>
        </w:rPr>
        <w:t xml:space="preserve">These results, thus, predict that devaluation increases FDI inflows to SSA while increased risk retards it. This is not surprising given the general risk-averse nature of foreign investors. </w:t>
      </w:r>
      <w:r w:rsidR="006448DE" w:rsidRPr="00217328">
        <w:rPr>
          <w:rFonts w:ascii="Garamond" w:hAnsi="Garamond" w:cs="Arial"/>
        </w:rPr>
        <w:t>The stronger effect of e</w:t>
      </w:r>
      <w:r w:rsidR="003561E1" w:rsidRPr="00217328">
        <w:rPr>
          <w:rFonts w:ascii="Garamond" w:hAnsi="Garamond" w:cs="Arial"/>
        </w:rPr>
        <w:t xml:space="preserve">xchange rate volatility </w:t>
      </w:r>
      <w:r w:rsidR="006448DE" w:rsidRPr="00217328">
        <w:rPr>
          <w:rFonts w:ascii="Garamond" w:hAnsi="Garamond" w:cs="Arial"/>
        </w:rPr>
        <w:t>on FDI in the</w:t>
      </w:r>
      <w:r w:rsidR="003561E1" w:rsidRPr="00217328">
        <w:rPr>
          <w:rFonts w:ascii="Garamond" w:hAnsi="Garamond" w:cs="Arial"/>
        </w:rPr>
        <w:t xml:space="preserve"> non-CFA </w:t>
      </w:r>
      <w:r w:rsidR="006448DE" w:rsidRPr="00217328">
        <w:rPr>
          <w:rFonts w:ascii="Garamond" w:hAnsi="Garamond" w:cs="Arial"/>
        </w:rPr>
        <w:t>countries relative to</w:t>
      </w:r>
      <w:r w:rsidR="003561E1" w:rsidRPr="00217328">
        <w:rPr>
          <w:rFonts w:ascii="Garamond" w:hAnsi="Garamond" w:cs="Arial"/>
        </w:rPr>
        <w:t xml:space="preserve"> the</w:t>
      </w:r>
      <w:r w:rsidR="006448DE" w:rsidRPr="00217328">
        <w:rPr>
          <w:rFonts w:ascii="Garamond" w:hAnsi="Garamond" w:cs="Arial"/>
        </w:rPr>
        <w:t>ir</w:t>
      </w:r>
      <w:r w:rsidR="003561E1" w:rsidRPr="00217328">
        <w:rPr>
          <w:rFonts w:ascii="Garamond" w:hAnsi="Garamond" w:cs="Arial"/>
        </w:rPr>
        <w:t xml:space="preserve"> CFA counte</w:t>
      </w:r>
      <w:r w:rsidR="006448DE" w:rsidRPr="00217328">
        <w:rPr>
          <w:rFonts w:ascii="Garamond" w:hAnsi="Garamond" w:cs="Arial"/>
        </w:rPr>
        <w:t>rpart</w:t>
      </w:r>
      <w:r w:rsidR="003561E1" w:rsidRPr="00217328">
        <w:rPr>
          <w:rFonts w:ascii="Garamond" w:hAnsi="Garamond" w:cs="Arial"/>
        </w:rPr>
        <w:t xml:space="preserve"> appears </w:t>
      </w:r>
      <w:r w:rsidR="006448DE" w:rsidRPr="00217328">
        <w:rPr>
          <w:rFonts w:ascii="Garamond" w:hAnsi="Garamond" w:cs="Arial"/>
        </w:rPr>
        <w:t xml:space="preserve">to demonstrate </w:t>
      </w:r>
      <w:r w:rsidR="003561E1" w:rsidRPr="00217328">
        <w:rPr>
          <w:rFonts w:ascii="Garamond" w:hAnsi="Garamond" w:cs="Arial"/>
        </w:rPr>
        <w:t xml:space="preserve">that exchange rate pegging </w:t>
      </w:r>
      <w:r w:rsidR="006448DE" w:rsidRPr="00217328">
        <w:rPr>
          <w:rFonts w:ascii="Garamond" w:hAnsi="Garamond" w:cs="Arial"/>
        </w:rPr>
        <w:t>dampen</w:t>
      </w:r>
      <w:r w:rsidR="00216260" w:rsidRPr="00217328">
        <w:rPr>
          <w:rFonts w:ascii="Garamond" w:hAnsi="Garamond" w:cs="Arial"/>
        </w:rPr>
        <w:t>s</w:t>
      </w:r>
      <w:r w:rsidR="006448DE" w:rsidRPr="00217328">
        <w:rPr>
          <w:rFonts w:ascii="Garamond" w:hAnsi="Garamond" w:cs="Arial"/>
        </w:rPr>
        <w:t xml:space="preserve"> the negative effect of exchange rate</w:t>
      </w:r>
      <w:r w:rsidR="003561E1" w:rsidRPr="00217328">
        <w:rPr>
          <w:rFonts w:ascii="Garamond" w:hAnsi="Garamond" w:cs="Arial"/>
        </w:rPr>
        <w:t xml:space="preserve"> volatility on FDI. This should be interpreted with caution, however, given the number of countries involved in the estimated model. </w:t>
      </w:r>
    </w:p>
    <w:p w:rsidR="007F3E88" w:rsidRDefault="007F3E88" w:rsidP="00432C32">
      <w:pPr>
        <w:spacing w:line="360" w:lineRule="auto"/>
        <w:jc w:val="both"/>
        <w:rPr>
          <w:rFonts w:ascii="Garamond" w:hAnsi="Garamond"/>
        </w:rPr>
      </w:pPr>
    </w:p>
    <w:p w:rsidR="00217328" w:rsidRDefault="00217328" w:rsidP="00432C32">
      <w:pPr>
        <w:spacing w:line="360" w:lineRule="auto"/>
        <w:jc w:val="both"/>
        <w:rPr>
          <w:rFonts w:ascii="Garamond" w:hAnsi="Garamond"/>
        </w:rPr>
      </w:pPr>
    </w:p>
    <w:p w:rsidR="003561E1" w:rsidRPr="00217328" w:rsidRDefault="009847CA" w:rsidP="00432C32">
      <w:pPr>
        <w:spacing w:line="360" w:lineRule="auto"/>
        <w:rPr>
          <w:rFonts w:ascii="Garamond" w:hAnsi="Garamond"/>
          <w:b/>
        </w:rPr>
      </w:pPr>
      <w:r>
        <w:rPr>
          <w:rFonts w:ascii="Garamond" w:hAnsi="Garamond"/>
          <w:b/>
        </w:rPr>
        <w:lastRenderedPageBreak/>
        <w:t>Table 7</w:t>
      </w:r>
      <w:r w:rsidR="003561E1" w:rsidRPr="00217328">
        <w:rPr>
          <w:rFonts w:ascii="Garamond" w:hAnsi="Garamond"/>
          <w:b/>
        </w:rPr>
        <w:t xml:space="preserve">: Panel Regression Results on the Effects of Exchange Rate Volatility on FDI </w:t>
      </w:r>
      <w:r w:rsidR="0088305B" w:rsidRPr="00217328">
        <w:rPr>
          <w:rFonts w:ascii="Garamond" w:hAnsi="Garamond"/>
          <w:b/>
        </w:rPr>
        <w:tab/>
        <w:t xml:space="preserve">   </w:t>
      </w:r>
      <w:r w:rsidR="003561E1" w:rsidRPr="00217328">
        <w:rPr>
          <w:rFonts w:ascii="Garamond" w:hAnsi="Garamond"/>
          <w:b/>
        </w:rPr>
        <w:t>in SSA, Fixed Effects Estimation.</w:t>
      </w:r>
    </w:p>
    <w:tbl>
      <w:tblPr>
        <w:tblW w:w="9766" w:type="dxa"/>
        <w:tblBorders>
          <w:insideH w:val="single" w:sz="18" w:space="0" w:color="FFFFFF"/>
          <w:insideV w:val="single" w:sz="18" w:space="0" w:color="FFFFFF"/>
        </w:tblBorders>
        <w:tblLook w:val="01E0"/>
      </w:tblPr>
      <w:tblGrid>
        <w:gridCol w:w="1937"/>
        <w:gridCol w:w="1340"/>
        <w:gridCol w:w="1256"/>
        <w:gridCol w:w="1340"/>
        <w:gridCol w:w="1234"/>
        <w:gridCol w:w="1340"/>
        <w:gridCol w:w="1319"/>
      </w:tblGrid>
      <w:tr w:rsidR="003561E1" w:rsidRPr="00217328" w:rsidTr="00653B72">
        <w:trPr>
          <w:trHeight w:val="270"/>
        </w:trPr>
        <w:tc>
          <w:tcPr>
            <w:tcW w:w="1937" w:type="dxa"/>
            <w:vMerge w:val="restart"/>
            <w:shd w:val="pct20" w:color="000000" w:fill="FFFFFF"/>
          </w:tcPr>
          <w:p w:rsidR="003561E1" w:rsidRPr="00217328" w:rsidRDefault="003561E1" w:rsidP="007A1404">
            <w:pPr>
              <w:spacing w:line="360" w:lineRule="auto"/>
              <w:jc w:val="center"/>
              <w:rPr>
                <w:rFonts w:ascii="Garamond" w:hAnsi="Garamond"/>
                <w:b/>
                <w:bCs/>
              </w:rPr>
            </w:pPr>
            <w:r w:rsidRPr="00217328">
              <w:rPr>
                <w:rFonts w:ascii="Garamond" w:hAnsi="Garamond"/>
                <w:b/>
                <w:bCs/>
              </w:rPr>
              <w:t>Variable</w:t>
            </w:r>
          </w:p>
        </w:tc>
        <w:tc>
          <w:tcPr>
            <w:tcW w:w="2596" w:type="dxa"/>
            <w:gridSpan w:val="2"/>
            <w:shd w:val="pct20" w:color="000000" w:fill="FFFFFF"/>
          </w:tcPr>
          <w:p w:rsidR="003561E1" w:rsidRPr="00217328" w:rsidRDefault="008463C0" w:rsidP="007A1404">
            <w:pPr>
              <w:tabs>
                <w:tab w:val="center" w:pos="1190"/>
              </w:tabs>
              <w:spacing w:line="360" w:lineRule="auto"/>
              <w:rPr>
                <w:rFonts w:ascii="Garamond" w:hAnsi="Garamond"/>
                <w:b/>
                <w:bCs/>
              </w:rPr>
            </w:pPr>
            <w:r w:rsidRPr="00217328">
              <w:rPr>
                <w:rFonts w:ascii="Garamond" w:hAnsi="Garamond"/>
                <w:b/>
                <w:bCs/>
              </w:rPr>
              <w:tab/>
            </w:r>
            <w:r w:rsidR="003561E1" w:rsidRPr="00217328">
              <w:rPr>
                <w:rFonts w:ascii="Garamond" w:hAnsi="Garamond"/>
                <w:b/>
                <w:bCs/>
              </w:rPr>
              <w:t>All Countries</w:t>
            </w:r>
          </w:p>
        </w:tc>
        <w:tc>
          <w:tcPr>
            <w:tcW w:w="2574" w:type="dxa"/>
            <w:gridSpan w:val="2"/>
            <w:shd w:val="pct20" w:color="000000" w:fill="FFFFFF"/>
          </w:tcPr>
          <w:p w:rsidR="003561E1" w:rsidRPr="00217328" w:rsidRDefault="003561E1" w:rsidP="007A1404">
            <w:pPr>
              <w:spacing w:line="360" w:lineRule="auto"/>
              <w:jc w:val="center"/>
              <w:rPr>
                <w:rFonts w:ascii="Garamond" w:hAnsi="Garamond"/>
                <w:b/>
                <w:bCs/>
              </w:rPr>
            </w:pPr>
            <w:r w:rsidRPr="00217328">
              <w:rPr>
                <w:rFonts w:ascii="Garamond" w:hAnsi="Garamond"/>
                <w:b/>
                <w:bCs/>
              </w:rPr>
              <w:t>CFA Countries</w:t>
            </w:r>
          </w:p>
        </w:tc>
        <w:tc>
          <w:tcPr>
            <w:tcW w:w="2659" w:type="dxa"/>
            <w:gridSpan w:val="2"/>
            <w:shd w:val="pct20" w:color="000000" w:fill="FFFFFF"/>
          </w:tcPr>
          <w:p w:rsidR="003561E1" w:rsidRPr="00217328" w:rsidRDefault="003561E1" w:rsidP="007A1404">
            <w:pPr>
              <w:spacing w:line="360" w:lineRule="auto"/>
              <w:jc w:val="center"/>
              <w:rPr>
                <w:rFonts w:ascii="Garamond" w:hAnsi="Garamond"/>
                <w:b/>
                <w:bCs/>
              </w:rPr>
            </w:pPr>
            <w:r w:rsidRPr="00217328">
              <w:rPr>
                <w:rFonts w:ascii="Garamond" w:hAnsi="Garamond"/>
                <w:b/>
                <w:bCs/>
              </w:rPr>
              <w:t>Non-CFA Countries</w:t>
            </w:r>
          </w:p>
        </w:tc>
      </w:tr>
      <w:tr w:rsidR="003561E1" w:rsidRPr="00217328" w:rsidTr="00653B72">
        <w:trPr>
          <w:trHeight w:val="285"/>
        </w:trPr>
        <w:tc>
          <w:tcPr>
            <w:tcW w:w="1937" w:type="dxa"/>
            <w:vMerge/>
            <w:shd w:val="pct5" w:color="000000" w:fill="FFFFFF"/>
          </w:tcPr>
          <w:p w:rsidR="003561E1" w:rsidRPr="00217328" w:rsidRDefault="003561E1" w:rsidP="007A1404">
            <w:pPr>
              <w:spacing w:line="360" w:lineRule="auto"/>
              <w:rPr>
                <w:rFonts w:ascii="Garamond" w:hAnsi="Garamond"/>
              </w:rPr>
            </w:pPr>
          </w:p>
        </w:tc>
        <w:tc>
          <w:tcPr>
            <w:tcW w:w="1340" w:type="dxa"/>
            <w:shd w:val="pct5" w:color="000000" w:fill="FFFFFF"/>
          </w:tcPr>
          <w:p w:rsidR="003561E1" w:rsidRPr="00217328" w:rsidRDefault="003561E1" w:rsidP="007A1404">
            <w:pPr>
              <w:spacing w:line="360" w:lineRule="auto"/>
              <w:jc w:val="center"/>
              <w:rPr>
                <w:rFonts w:ascii="Garamond" w:hAnsi="Garamond"/>
              </w:rPr>
            </w:pPr>
            <w:r w:rsidRPr="00217328">
              <w:rPr>
                <w:rFonts w:ascii="Garamond" w:hAnsi="Garamond"/>
              </w:rPr>
              <w:t>Coefficient</w:t>
            </w:r>
          </w:p>
        </w:tc>
        <w:tc>
          <w:tcPr>
            <w:tcW w:w="1256" w:type="dxa"/>
            <w:shd w:val="pct5" w:color="000000" w:fill="FFFFFF"/>
          </w:tcPr>
          <w:p w:rsidR="003561E1" w:rsidRPr="00217328" w:rsidRDefault="003561E1" w:rsidP="007A1404">
            <w:pPr>
              <w:spacing w:line="360" w:lineRule="auto"/>
              <w:jc w:val="center"/>
              <w:rPr>
                <w:rFonts w:ascii="Garamond" w:hAnsi="Garamond"/>
              </w:rPr>
            </w:pPr>
            <w:r w:rsidRPr="00217328">
              <w:rPr>
                <w:rFonts w:ascii="Garamond" w:hAnsi="Garamond"/>
              </w:rPr>
              <w:t>t-statistic</w:t>
            </w:r>
          </w:p>
        </w:tc>
        <w:tc>
          <w:tcPr>
            <w:tcW w:w="1340" w:type="dxa"/>
            <w:shd w:val="pct5" w:color="000000" w:fill="FFFFFF"/>
          </w:tcPr>
          <w:p w:rsidR="003561E1" w:rsidRPr="00217328" w:rsidRDefault="003561E1" w:rsidP="007A1404">
            <w:pPr>
              <w:spacing w:line="360" w:lineRule="auto"/>
              <w:jc w:val="center"/>
              <w:rPr>
                <w:rFonts w:ascii="Garamond" w:hAnsi="Garamond"/>
              </w:rPr>
            </w:pPr>
            <w:r w:rsidRPr="00217328">
              <w:rPr>
                <w:rFonts w:ascii="Garamond" w:hAnsi="Garamond"/>
              </w:rPr>
              <w:t>Coefficient</w:t>
            </w:r>
          </w:p>
        </w:tc>
        <w:tc>
          <w:tcPr>
            <w:tcW w:w="1234" w:type="dxa"/>
            <w:shd w:val="pct5" w:color="000000" w:fill="FFFFFF"/>
          </w:tcPr>
          <w:p w:rsidR="003561E1" w:rsidRPr="00217328" w:rsidRDefault="003561E1" w:rsidP="007A1404">
            <w:pPr>
              <w:spacing w:line="360" w:lineRule="auto"/>
              <w:jc w:val="center"/>
              <w:rPr>
                <w:rFonts w:ascii="Garamond" w:hAnsi="Garamond"/>
              </w:rPr>
            </w:pPr>
            <w:r w:rsidRPr="00217328">
              <w:rPr>
                <w:rFonts w:ascii="Garamond" w:hAnsi="Garamond"/>
              </w:rPr>
              <w:t>t-statistic</w:t>
            </w:r>
          </w:p>
        </w:tc>
        <w:tc>
          <w:tcPr>
            <w:tcW w:w="1340" w:type="dxa"/>
            <w:shd w:val="pct5" w:color="000000" w:fill="FFFFFF"/>
          </w:tcPr>
          <w:p w:rsidR="003561E1" w:rsidRPr="00217328" w:rsidRDefault="003561E1" w:rsidP="007A1404">
            <w:pPr>
              <w:spacing w:line="360" w:lineRule="auto"/>
              <w:jc w:val="center"/>
              <w:rPr>
                <w:rFonts w:ascii="Garamond" w:hAnsi="Garamond"/>
              </w:rPr>
            </w:pPr>
            <w:r w:rsidRPr="00217328">
              <w:rPr>
                <w:rFonts w:ascii="Garamond" w:hAnsi="Garamond"/>
              </w:rPr>
              <w:t>Coefficient</w:t>
            </w:r>
          </w:p>
        </w:tc>
        <w:tc>
          <w:tcPr>
            <w:tcW w:w="1319" w:type="dxa"/>
            <w:shd w:val="pct5" w:color="000000" w:fill="FFFFFF"/>
          </w:tcPr>
          <w:p w:rsidR="003561E1" w:rsidRPr="00217328" w:rsidRDefault="003561E1" w:rsidP="007A1404">
            <w:pPr>
              <w:spacing w:line="360" w:lineRule="auto"/>
              <w:jc w:val="center"/>
              <w:rPr>
                <w:rFonts w:ascii="Garamond" w:hAnsi="Garamond"/>
              </w:rPr>
            </w:pPr>
            <w:r w:rsidRPr="00217328">
              <w:rPr>
                <w:rFonts w:ascii="Garamond" w:hAnsi="Garamond"/>
              </w:rPr>
              <w:t>t-statistic</w:t>
            </w:r>
          </w:p>
        </w:tc>
      </w:tr>
      <w:tr w:rsidR="003561E1" w:rsidRPr="00217328" w:rsidTr="00653B72">
        <w:tc>
          <w:tcPr>
            <w:tcW w:w="1937" w:type="dxa"/>
            <w:shd w:val="pct20" w:color="000000" w:fill="FFFFFF"/>
          </w:tcPr>
          <w:p w:rsidR="003561E1" w:rsidRPr="00217328" w:rsidRDefault="001E3D9B" w:rsidP="007A1404">
            <w:pPr>
              <w:spacing w:line="360" w:lineRule="auto"/>
              <w:rPr>
                <w:rFonts w:ascii="Garamond" w:hAnsi="Garamond"/>
              </w:rPr>
            </w:pPr>
            <w:r w:rsidRPr="00217328">
              <w:rPr>
                <w:rFonts w:ascii="Garamond" w:hAnsi="Garamond"/>
              </w:rPr>
              <w:t xml:space="preserve">Exchange Rate </w:t>
            </w:r>
            <w:r w:rsidR="003561E1" w:rsidRPr="00217328">
              <w:rPr>
                <w:rFonts w:ascii="Garamond" w:hAnsi="Garamond"/>
              </w:rPr>
              <w:t>Volatility</w:t>
            </w:r>
          </w:p>
        </w:tc>
        <w:tc>
          <w:tcPr>
            <w:tcW w:w="0" w:type="auto"/>
            <w:shd w:val="pct20" w:color="000000" w:fill="FFFFFF"/>
          </w:tcPr>
          <w:p w:rsidR="003561E1" w:rsidRPr="00217328" w:rsidRDefault="00585D46" w:rsidP="007A1404">
            <w:pPr>
              <w:spacing w:line="360" w:lineRule="auto"/>
              <w:jc w:val="center"/>
              <w:rPr>
                <w:rFonts w:ascii="Garamond" w:hAnsi="Garamond"/>
              </w:rPr>
            </w:pPr>
            <w:r w:rsidRPr="00217328">
              <w:rPr>
                <w:rFonts w:ascii="Garamond" w:hAnsi="Garamond"/>
              </w:rPr>
              <w:t>-0.</w:t>
            </w:r>
            <w:r w:rsidR="004B56E4" w:rsidRPr="00217328">
              <w:rPr>
                <w:rFonts w:ascii="Garamond" w:hAnsi="Garamond"/>
              </w:rPr>
              <w:t>0</w:t>
            </w:r>
            <w:r w:rsidRPr="00217328">
              <w:rPr>
                <w:rFonts w:ascii="Garamond" w:hAnsi="Garamond"/>
              </w:rPr>
              <w:t>3</w:t>
            </w:r>
            <w:r w:rsidR="004B56E4" w:rsidRPr="00217328">
              <w:rPr>
                <w:rFonts w:ascii="Garamond" w:hAnsi="Garamond"/>
              </w:rPr>
              <w:t>56</w:t>
            </w:r>
            <w:r w:rsidR="003561E1" w:rsidRPr="00217328">
              <w:rPr>
                <w:rFonts w:ascii="Garamond" w:hAnsi="Garamond"/>
                <w:vertAlign w:val="superscript"/>
              </w:rPr>
              <w:t>***</w:t>
            </w:r>
          </w:p>
        </w:tc>
        <w:tc>
          <w:tcPr>
            <w:tcW w:w="1256" w:type="dxa"/>
            <w:shd w:val="pct20" w:color="000000" w:fill="FFFFFF"/>
          </w:tcPr>
          <w:p w:rsidR="00585D46" w:rsidRPr="00217328" w:rsidRDefault="00993745" w:rsidP="007A1404">
            <w:pPr>
              <w:autoSpaceDE w:val="0"/>
              <w:autoSpaceDN w:val="0"/>
              <w:adjustRightInd w:val="0"/>
              <w:spacing w:line="360" w:lineRule="auto"/>
              <w:rPr>
                <w:rFonts w:ascii="Garamond" w:hAnsi="Garamond" w:cs="Arial"/>
                <w:sz w:val="20"/>
                <w:szCs w:val="20"/>
              </w:rPr>
            </w:pPr>
            <w:r w:rsidRPr="00217328">
              <w:rPr>
                <w:rFonts w:ascii="Garamond" w:hAnsi="Garamond"/>
              </w:rPr>
              <w:t>[-3.</w:t>
            </w:r>
            <w:r w:rsidR="004B56E4" w:rsidRPr="00217328">
              <w:rPr>
                <w:rFonts w:ascii="Garamond" w:hAnsi="Garamond"/>
              </w:rPr>
              <w:t>8256</w:t>
            </w:r>
            <w:r w:rsidRPr="00217328">
              <w:rPr>
                <w:rFonts w:ascii="Garamond" w:hAnsi="Garamond"/>
              </w:rPr>
              <w:t>]</w:t>
            </w:r>
          </w:p>
          <w:tbl>
            <w:tblPr>
              <w:tblW w:w="0" w:type="auto"/>
              <w:tblInd w:w="30" w:type="dxa"/>
              <w:tblCellMar>
                <w:left w:w="30" w:type="dxa"/>
                <w:right w:w="30" w:type="dxa"/>
              </w:tblCellMar>
              <w:tblLook w:val="0000"/>
            </w:tblPr>
            <w:tblGrid>
              <w:gridCol w:w="1010"/>
            </w:tblGrid>
            <w:tr w:rsidR="00585D46" w:rsidRPr="00217328">
              <w:trPr>
                <w:trHeight w:val="272"/>
              </w:trPr>
              <w:tc>
                <w:tcPr>
                  <w:tcW w:w="1241" w:type="dxa"/>
                  <w:tcBorders>
                    <w:top w:val="nil"/>
                    <w:left w:val="nil"/>
                    <w:bottom w:val="nil"/>
                    <w:right w:val="nil"/>
                  </w:tcBorders>
                  <w:vAlign w:val="bottom"/>
                </w:tcPr>
                <w:p w:rsidR="00585D46" w:rsidRPr="00217328" w:rsidRDefault="00585D46" w:rsidP="007A1404">
                  <w:pPr>
                    <w:autoSpaceDE w:val="0"/>
                    <w:autoSpaceDN w:val="0"/>
                    <w:adjustRightInd w:val="0"/>
                    <w:spacing w:line="360" w:lineRule="auto"/>
                    <w:ind w:right="10"/>
                    <w:jc w:val="center"/>
                    <w:rPr>
                      <w:rFonts w:ascii="Garamond" w:hAnsi="Garamond" w:cs="Arial"/>
                      <w:color w:val="000000"/>
                      <w:sz w:val="20"/>
                      <w:szCs w:val="20"/>
                    </w:rPr>
                  </w:pPr>
                </w:p>
              </w:tc>
            </w:tr>
          </w:tbl>
          <w:p w:rsidR="003561E1" w:rsidRPr="00217328" w:rsidRDefault="003561E1" w:rsidP="007A1404">
            <w:pPr>
              <w:spacing w:line="360" w:lineRule="auto"/>
              <w:jc w:val="center"/>
              <w:rPr>
                <w:rFonts w:ascii="Garamond" w:hAnsi="Garamond"/>
              </w:rPr>
            </w:pPr>
          </w:p>
        </w:tc>
        <w:tc>
          <w:tcPr>
            <w:tcW w:w="0" w:type="auto"/>
            <w:shd w:val="pct20" w:color="000000" w:fill="FFFFFF"/>
          </w:tcPr>
          <w:p w:rsidR="003561E1" w:rsidRPr="00217328" w:rsidRDefault="003561E1" w:rsidP="007A1404">
            <w:pPr>
              <w:spacing w:line="360" w:lineRule="auto"/>
              <w:jc w:val="center"/>
              <w:rPr>
                <w:rFonts w:ascii="Garamond" w:hAnsi="Garamond"/>
              </w:rPr>
            </w:pPr>
            <w:r w:rsidRPr="00217328">
              <w:rPr>
                <w:rFonts w:ascii="Garamond" w:hAnsi="Garamond"/>
              </w:rPr>
              <w:t>-0.</w:t>
            </w:r>
            <w:r w:rsidR="006E2FE4" w:rsidRPr="00217328">
              <w:rPr>
                <w:rFonts w:ascii="Garamond" w:hAnsi="Garamond"/>
              </w:rPr>
              <w:t>0</w:t>
            </w:r>
            <w:r w:rsidRPr="00217328">
              <w:rPr>
                <w:rFonts w:ascii="Garamond" w:hAnsi="Garamond"/>
              </w:rPr>
              <w:t>1</w:t>
            </w:r>
            <w:r w:rsidR="006E2FE4" w:rsidRPr="00217328">
              <w:rPr>
                <w:rFonts w:ascii="Garamond" w:hAnsi="Garamond"/>
              </w:rPr>
              <w:t>29*</w:t>
            </w:r>
          </w:p>
        </w:tc>
        <w:tc>
          <w:tcPr>
            <w:tcW w:w="1234" w:type="dxa"/>
            <w:shd w:val="pct20" w:color="000000" w:fill="FFFFFF"/>
          </w:tcPr>
          <w:p w:rsidR="003561E1" w:rsidRPr="00217328" w:rsidRDefault="006E2FE4" w:rsidP="007A1404">
            <w:pPr>
              <w:spacing w:line="360" w:lineRule="auto"/>
              <w:jc w:val="center"/>
              <w:rPr>
                <w:rFonts w:ascii="Garamond" w:hAnsi="Garamond"/>
              </w:rPr>
            </w:pPr>
            <w:r w:rsidRPr="00217328">
              <w:rPr>
                <w:rFonts w:ascii="Garamond" w:hAnsi="Garamond"/>
              </w:rPr>
              <w:t>[-1</w:t>
            </w:r>
            <w:r w:rsidR="003561E1" w:rsidRPr="00217328">
              <w:rPr>
                <w:rFonts w:ascii="Garamond" w:hAnsi="Garamond"/>
              </w:rPr>
              <w:t>.812]</w:t>
            </w:r>
          </w:p>
        </w:tc>
        <w:tc>
          <w:tcPr>
            <w:tcW w:w="0" w:type="auto"/>
            <w:shd w:val="pct20" w:color="000000" w:fill="FFFFFF"/>
          </w:tcPr>
          <w:p w:rsidR="003561E1" w:rsidRPr="00217328" w:rsidRDefault="003561E1" w:rsidP="007A1404">
            <w:pPr>
              <w:spacing w:line="360" w:lineRule="auto"/>
              <w:jc w:val="center"/>
              <w:rPr>
                <w:rFonts w:ascii="Garamond" w:hAnsi="Garamond"/>
              </w:rPr>
            </w:pPr>
            <w:r w:rsidRPr="00217328">
              <w:rPr>
                <w:rFonts w:ascii="Garamond" w:hAnsi="Garamond"/>
              </w:rPr>
              <w:t>-0.</w:t>
            </w:r>
            <w:r w:rsidR="00ED1814" w:rsidRPr="00217328">
              <w:rPr>
                <w:rFonts w:ascii="Garamond" w:hAnsi="Garamond"/>
              </w:rPr>
              <w:t>049</w:t>
            </w:r>
            <w:r w:rsidRPr="00217328">
              <w:rPr>
                <w:rFonts w:ascii="Garamond" w:hAnsi="Garamond"/>
                <w:vertAlign w:val="superscript"/>
              </w:rPr>
              <w:t>***</w:t>
            </w:r>
          </w:p>
        </w:tc>
        <w:tc>
          <w:tcPr>
            <w:tcW w:w="1319" w:type="dxa"/>
            <w:shd w:val="pct20" w:color="000000" w:fill="FFFFFF"/>
          </w:tcPr>
          <w:p w:rsidR="003561E1" w:rsidRPr="00217328" w:rsidRDefault="003561E1" w:rsidP="007A1404">
            <w:pPr>
              <w:spacing w:line="360" w:lineRule="auto"/>
              <w:jc w:val="center"/>
              <w:rPr>
                <w:rFonts w:ascii="Garamond" w:hAnsi="Garamond"/>
                <w:vertAlign w:val="superscript"/>
              </w:rPr>
            </w:pPr>
            <w:r w:rsidRPr="00217328">
              <w:rPr>
                <w:rFonts w:ascii="Garamond" w:hAnsi="Garamond"/>
              </w:rPr>
              <w:t>[-4.255]</w:t>
            </w:r>
          </w:p>
        </w:tc>
      </w:tr>
      <w:tr w:rsidR="001C3662" w:rsidRPr="00217328" w:rsidTr="00653B72">
        <w:tc>
          <w:tcPr>
            <w:tcW w:w="1937" w:type="dxa"/>
            <w:shd w:val="pct5" w:color="000000" w:fill="FFFFFF"/>
          </w:tcPr>
          <w:p w:rsidR="001C3662" w:rsidRPr="00217328" w:rsidRDefault="001C3662" w:rsidP="007A1404">
            <w:pPr>
              <w:spacing w:line="360" w:lineRule="auto"/>
              <w:rPr>
                <w:rFonts w:ascii="Garamond" w:hAnsi="Garamond"/>
              </w:rPr>
            </w:pPr>
            <w:r w:rsidRPr="00217328">
              <w:rPr>
                <w:rFonts w:ascii="Garamond" w:hAnsi="Garamond"/>
              </w:rPr>
              <w:t>Exchange Rate Movement</w:t>
            </w:r>
          </w:p>
        </w:tc>
        <w:tc>
          <w:tcPr>
            <w:tcW w:w="0" w:type="auto"/>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0.032</w:t>
            </w:r>
          </w:p>
        </w:tc>
        <w:tc>
          <w:tcPr>
            <w:tcW w:w="1256" w:type="dxa"/>
            <w:shd w:val="pct5" w:color="000000" w:fill="FFFFFF"/>
          </w:tcPr>
          <w:p w:rsidR="001C3662" w:rsidRPr="00217328" w:rsidRDefault="001C3662" w:rsidP="007A1404">
            <w:pPr>
              <w:spacing w:line="360" w:lineRule="auto"/>
              <w:jc w:val="center"/>
              <w:rPr>
                <w:rFonts w:ascii="Garamond" w:hAnsi="Garamond"/>
                <w:vertAlign w:val="superscript"/>
              </w:rPr>
            </w:pPr>
            <w:r w:rsidRPr="00217328">
              <w:rPr>
                <w:rFonts w:ascii="Garamond" w:hAnsi="Garamond"/>
              </w:rPr>
              <w:t>[1.338]</w:t>
            </w:r>
          </w:p>
        </w:tc>
        <w:tc>
          <w:tcPr>
            <w:tcW w:w="0" w:type="auto"/>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0.017</w:t>
            </w:r>
          </w:p>
        </w:tc>
        <w:tc>
          <w:tcPr>
            <w:tcW w:w="1234" w:type="dxa"/>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[0.404]</w:t>
            </w:r>
          </w:p>
        </w:tc>
        <w:tc>
          <w:tcPr>
            <w:tcW w:w="0" w:type="auto"/>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0.038</w:t>
            </w:r>
          </w:p>
        </w:tc>
        <w:tc>
          <w:tcPr>
            <w:tcW w:w="1319" w:type="dxa"/>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[1.329]</w:t>
            </w:r>
          </w:p>
        </w:tc>
      </w:tr>
      <w:tr w:rsidR="001C3662" w:rsidRPr="00217328" w:rsidTr="00653B72">
        <w:tc>
          <w:tcPr>
            <w:tcW w:w="1937" w:type="dxa"/>
            <w:shd w:val="pct20" w:color="000000" w:fill="FFFFFF"/>
          </w:tcPr>
          <w:p w:rsidR="001C3662" w:rsidRPr="00217328" w:rsidRDefault="001C3662" w:rsidP="007A1404">
            <w:pPr>
              <w:spacing w:line="360" w:lineRule="auto"/>
              <w:rPr>
                <w:rFonts w:ascii="Garamond" w:hAnsi="Garamond"/>
              </w:rPr>
            </w:pPr>
            <w:r w:rsidRPr="00217328">
              <w:rPr>
                <w:rFonts w:ascii="Garamond" w:hAnsi="Garamond"/>
              </w:rPr>
              <w:t>Risk Attitude</w:t>
            </w:r>
          </w:p>
        </w:tc>
        <w:tc>
          <w:tcPr>
            <w:tcW w:w="0" w:type="auto"/>
            <w:shd w:val="pct20" w:color="000000" w:fill="FFFFFF"/>
          </w:tcPr>
          <w:tbl>
            <w:tblPr>
              <w:tblW w:w="0" w:type="auto"/>
              <w:tblInd w:w="30" w:type="dxa"/>
              <w:tblCellMar>
                <w:left w:w="30" w:type="dxa"/>
                <w:right w:w="30" w:type="dxa"/>
              </w:tblCellMar>
              <w:tblLook w:val="0000"/>
            </w:tblPr>
            <w:tblGrid>
              <w:gridCol w:w="1010"/>
            </w:tblGrid>
            <w:tr w:rsidR="001C3662" w:rsidRPr="00217328">
              <w:trPr>
                <w:trHeight w:val="272"/>
              </w:trPr>
              <w:tc>
                <w:tcPr>
                  <w:tcW w:w="1010" w:type="dxa"/>
                  <w:tcBorders>
                    <w:top w:val="nil"/>
                    <w:left w:val="nil"/>
                    <w:bottom w:val="nil"/>
                    <w:right w:val="nil"/>
                  </w:tcBorders>
                  <w:vAlign w:val="bottom"/>
                </w:tcPr>
                <w:p w:rsidR="001C3662" w:rsidRPr="00217328" w:rsidRDefault="001C3662" w:rsidP="007A1404">
                  <w:pPr>
                    <w:autoSpaceDE w:val="0"/>
                    <w:autoSpaceDN w:val="0"/>
                    <w:adjustRightInd w:val="0"/>
                    <w:spacing w:line="360" w:lineRule="auto"/>
                    <w:ind w:right="10"/>
                    <w:jc w:val="center"/>
                    <w:rPr>
                      <w:rFonts w:ascii="Garamond" w:hAnsi="Garamond"/>
                      <w:color w:val="000000"/>
                    </w:rPr>
                  </w:pPr>
                  <w:r w:rsidRPr="00217328">
                    <w:rPr>
                      <w:rFonts w:ascii="Garamond" w:hAnsi="Garamond"/>
                      <w:color w:val="000000"/>
                    </w:rPr>
                    <w:t>-0.016**</w:t>
                  </w:r>
                </w:p>
              </w:tc>
            </w:tr>
          </w:tbl>
          <w:p w:rsidR="001C3662" w:rsidRPr="00217328" w:rsidRDefault="001C3662" w:rsidP="007A1404">
            <w:pPr>
              <w:spacing w:line="360" w:lineRule="auto"/>
              <w:jc w:val="center"/>
              <w:rPr>
                <w:rFonts w:ascii="Garamond" w:hAnsi="Garamond"/>
              </w:rPr>
            </w:pPr>
          </w:p>
        </w:tc>
        <w:tc>
          <w:tcPr>
            <w:tcW w:w="1256" w:type="dxa"/>
            <w:shd w:val="pct20" w:color="000000" w:fill="FFFFFF"/>
          </w:tcPr>
          <w:p w:rsidR="001C3662" w:rsidRPr="00217328" w:rsidRDefault="001C3662" w:rsidP="007A1404">
            <w:pPr>
              <w:spacing w:line="360" w:lineRule="auto"/>
              <w:jc w:val="center"/>
              <w:rPr>
                <w:rFonts w:ascii="Garamond" w:hAnsi="Garamond"/>
                <w:vertAlign w:val="superscript"/>
              </w:rPr>
            </w:pPr>
            <w:r w:rsidRPr="00217328">
              <w:rPr>
                <w:rFonts w:ascii="Garamond" w:hAnsi="Garamond"/>
              </w:rPr>
              <w:t>[-2.525]</w:t>
            </w:r>
          </w:p>
        </w:tc>
        <w:tc>
          <w:tcPr>
            <w:tcW w:w="0" w:type="auto"/>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-0.0151</w:t>
            </w:r>
          </w:p>
        </w:tc>
        <w:tc>
          <w:tcPr>
            <w:tcW w:w="1234" w:type="dxa"/>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[-0.470]</w:t>
            </w:r>
          </w:p>
        </w:tc>
        <w:tc>
          <w:tcPr>
            <w:tcW w:w="0" w:type="auto"/>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-0.0096</w:t>
            </w:r>
          </w:p>
        </w:tc>
        <w:tc>
          <w:tcPr>
            <w:tcW w:w="1319" w:type="dxa"/>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[-0.631]</w:t>
            </w:r>
          </w:p>
        </w:tc>
      </w:tr>
      <w:tr w:rsidR="001C3662" w:rsidRPr="00217328" w:rsidTr="00653B72">
        <w:tc>
          <w:tcPr>
            <w:tcW w:w="1937" w:type="dxa"/>
            <w:shd w:val="pct5" w:color="000000" w:fill="FFFFFF"/>
          </w:tcPr>
          <w:p w:rsidR="001C3662" w:rsidRPr="00217328" w:rsidRDefault="001C3662" w:rsidP="007A1404">
            <w:pPr>
              <w:spacing w:line="360" w:lineRule="auto"/>
              <w:rPr>
                <w:rFonts w:ascii="Garamond" w:hAnsi="Garamond"/>
              </w:rPr>
            </w:pPr>
            <w:r w:rsidRPr="00217328">
              <w:rPr>
                <w:rFonts w:ascii="Garamond" w:hAnsi="Garamond"/>
              </w:rPr>
              <w:t>Infrastructure</w:t>
            </w:r>
          </w:p>
        </w:tc>
        <w:tc>
          <w:tcPr>
            <w:tcW w:w="0" w:type="auto"/>
            <w:shd w:val="pct5" w:color="000000" w:fill="FFFFFF"/>
          </w:tcPr>
          <w:tbl>
            <w:tblPr>
              <w:tblW w:w="0" w:type="auto"/>
              <w:tblInd w:w="30" w:type="dxa"/>
              <w:tblCellMar>
                <w:left w:w="30" w:type="dxa"/>
                <w:right w:w="30" w:type="dxa"/>
              </w:tblCellMar>
              <w:tblLook w:val="0000"/>
            </w:tblPr>
            <w:tblGrid>
              <w:gridCol w:w="1010"/>
            </w:tblGrid>
            <w:tr w:rsidR="001C3662" w:rsidRPr="00217328">
              <w:trPr>
                <w:trHeight w:val="272"/>
              </w:trPr>
              <w:tc>
                <w:tcPr>
                  <w:tcW w:w="1010" w:type="dxa"/>
                  <w:tcBorders>
                    <w:top w:val="nil"/>
                    <w:left w:val="nil"/>
                    <w:bottom w:val="nil"/>
                    <w:right w:val="nil"/>
                  </w:tcBorders>
                  <w:vAlign w:val="bottom"/>
                </w:tcPr>
                <w:p w:rsidR="001C3662" w:rsidRPr="00217328" w:rsidRDefault="001C3662" w:rsidP="007A1404">
                  <w:pPr>
                    <w:autoSpaceDE w:val="0"/>
                    <w:autoSpaceDN w:val="0"/>
                    <w:adjustRightInd w:val="0"/>
                    <w:spacing w:line="360" w:lineRule="auto"/>
                    <w:ind w:right="10"/>
                    <w:jc w:val="center"/>
                    <w:rPr>
                      <w:rFonts w:ascii="Garamond" w:hAnsi="Garamond"/>
                      <w:color w:val="000000"/>
                    </w:rPr>
                  </w:pPr>
                  <w:r w:rsidRPr="00217328">
                    <w:rPr>
                      <w:rFonts w:ascii="Garamond" w:hAnsi="Garamond"/>
                      <w:color w:val="000000"/>
                    </w:rPr>
                    <w:t>0.158***</w:t>
                  </w:r>
                </w:p>
              </w:tc>
            </w:tr>
          </w:tbl>
          <w:p w:rsidR="001C3662" w:rsidRPr="00217328" w:rsidRDefault="001C3662" w:rsidP="007A1404">
            <w:pPr>
              <w:spacing w:line="360" w:lineRule="auto"/>
              <w:jc w:val="center"/>
              <w:rPr>
                <w:rFonts w:ascii="Garamond" w:hAnsi="Garamond"/>
              </w:rPr>
            </w:pPr>
          </w:p>
        </w:tc>
        <w:tc>
          <w:tcPr>
            <w:tcW w:w="1256" w:type="dxa"/>
            <w:shd w:val="pct5" w:color="000000" w:fill="FFFFFF"/>
          </w:tcPr>
          <w:p w:rsidR="001C3662" w:rsidRPr="00217328" w:rsidRDefault="001C3662" w:rsidP="007A1404">
            <w:pPr>
              <w:spacing w:line="360" w:lineRule="auto"/>
              <w:jc w:val="center"/>
              <w:rPr>
                <w:rFonts w:ascii="Garamond" w:hAnsi="Garamond"/>
                <w:vertAlign w:val="superscript"/>
              </w:rPr>
            </w:pPr>
            <w:r w:rsidRPr="00217328">
              <w:rPr>
                <w:rFonts w:ascii="Garamond" w:hAnsi="Garamond"/>
              </w:rPr>
              <w:t>[</w:t>
            </w:r>
            <w:r w:rsidR="00973133" w:rsidRPr="00217328">
              <w:rPr>
                <w:rFonts w:ascii="Garamond" w:hAnsi="Garamond"/>
              </w:rPr>
              <w:t>5</w:t>
            </w:r>
            <w:r w:rsidRPr="00217328">
              <w:rPr>
                <w:rFonts w:ascii="Garamond" w:hAnsi="Garamond"/>
              </w:rPr>
              <w:t>.</w:t>
            </w:r>
            <w:r w:rsidR="00973133" w:rsidRPr="00217328">
              <w:rPr>
                <w:rFonts w:ascii="Garamond" w:hAnsi="Garamond"/>
              </w:rPr>
              <w:t>306</w:t>
            </w:r>
            <w:r w:rsidRPr="00217328">
              <w:rPr>
                <w:rFonts w:ascii="Garamond" w:hAnsi="Garamond"/>
              </w:rPr>
              <w:t>]</w:t>
            </w:r>
          </w:p>
        </w:tc>
        <w:tc>
          <w:tcPr>
            <w:tcW w:w="0" w:type="auto"/>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0.0655</w:t>
            </w:r>
          </w:p>
        </w:tc>
        <w:tc>
          <w:tcPr>
            <w:tcW w:w="1234" w:type="dxa"/>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[0.809]</w:t>
            </w:r>
          </w:p>
        </w:tc>
        <w:tc>
          <w:tcPr>
            <w:tcW w:w="0" w:type="auto"/>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0.1578***</w:t>
            </w:r>
          </w:p>
        </w:tc>
        <w:tc>
          <w:tcPr>
            <w:tcW w:w="1319" w:type="dxa"/>
            <w:shd w:val="pct5" w:color="000000" w:fill="FFFFFF"/>
          </w:tcPr>
          <w:p w:rsidR="001C3662" w:rsidRPr="00217328" w:rsidRDefault="001C3662" w:rsidP="007A1404">
            <w:pPr>
              <w:spacing w:line="360" w:lineRule="auto"/>
              <w:jc w:val="center"/>
              <w:rPr>
                <w:rFonts w:ascii="Garamond" w:hAnsi="Garamond"/>
                <w:vertAlign w:val="superscript"/>
              </w:rPr>
            </w:pPr>
            <w:r w:rsidRPr="00217328">
              <w:rPr>
                <w:rFonts w:ascii="Garamond" w:hAnsi="Garamond"/>
              </w:rPr>
              <w:t>[4.937]</w:t>
            </w:r>
          </w:p>
        </w:tc>
      </w:tr>
      <w:tr w:rsidR="001C3662" w:rsidRPr="00217328" w:rsidTr="00653B72">
        <w:tc>
          <w:tcPr>
            <w:tcW w:w="1937" w:type="dxa"/>
            <w:shd w:val="pct20" w:color="000000" w:fill="FFFFFF"/>
          </w:tcPr>
          <w:p w:rsidR="001C3662" w:rsidRPr="00217328" w:rsidRDefault="001C3662" w:rsidP="007A1404">
            <w:pPr>
              <w:spacing w:line="360" w:lineRule="auto"/>
              <w:rPr>
                <w:rFonts w:ascii="Garamond" w:hAnsi="Garamond"/>
              </w:rPr>
            </w:pPr>
            <w:r w:rsidRPr="00217328">
              <w:rPr>
                <w:rFonts w:ascii="Garamond" w:hAnsi="Garamond"/>
              </w:rPr>
              <w:t>Real Interest Rate</w:t>
            </w:r>
          </w:p>
        </w:tc>
        <w:tc>
          <w:tcPr>
            <w:tcW w:w="0" w:type="auto"/>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-0.023</w:t>
            </w:r>
          </w:p>
        </w:tc>
        <w:tc>
          <w:tcPr>
            <w:tcW w:w="1256" w:type="dxa"/>
            <w:shd w:val="pct20" w:color="000000" w:fill="FFFFFF"/>
          </w:tcPr>
          <w:p w:rsidR="001C3662" w:rsidRPr="00217328" w:rsidRDefault="001C3662" w:rsidP="007A1404">
            <w:pPr>
              <w:spacing w:line="360" w:lineRule="auto"/>
              <w:jc w:val="center"/>
              <w:rPr>
                <w:rFonts w:ascii="Garamond" w:hAnsi="Garamond"/>
                <w:vertAlign w:val="superscript"/>
              </w:rPr>
            </w:pPr>
            <w:r w:rsidRPr="00217328">
              <w:rPr>
                <w:rFonts w:ascii="Garamond" w:hAnsi="Garamond"/>
              </w:rPr>
              <w:t>[-1.181]</w:t>
            </w:r>
          </w:p>
        </w:tc>
        <w:tc>
          <w:tcPr>
            <w:tcW w:w="0" w:type="auto"/>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-0.0495*</w:t>
            </w:r>
          </w:p>
        </w:tc>
        <w:tc>
          <w:tcPr>
            <w:tcW w:w="1234" w:type="dxa"/>
            <w:shd w:val="pct20" w:color="000000" w:fill="FFFFFF"/>
          </w:tcPr>
          <w:p w:rsidR="001C3662" w:rsidRPr="00217328" w:rsidRDefault="001C3662" w:rsidP="007A1404">
            <w:pPr>
              <w:spacing w:line="360" w:lineRule="auto"/>
              <w:jc w:val="center"/>
              <w:rPr>
                <w:rFonts w:ascii="Garamond" w:hAnsi="Garamond"/>
                <w:vertAlign w:val="superscript"/>
              </w:rPr>
            </w:pPr>
            <w:r w:rsidRPr="00217328">
              <w:rPr>
                <w:rFonts w:ascii="Garamond" w:hAnsi="Garamond"/>
              </w:rPr>
              <w:t>[-1.697]</w:t>
            </w:r>
          </w:p>
        </w:tc>
        <w:tc>
          <w:tcPr>
            <w:tcW w:w="0" w:type="auto"/>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-0.0187</w:t>
            </w:r>
          </w:p>
        </w:tc>
        <w:tc>
          <w:tcPr>
            <w:tcW w:w="1319" w:type="dxa"/>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[-0.0726]</w:t>
            </w:r>
          </w:p>
        </w:tc>
      </w:tr>
      <w:tr w:rsidR="001C3662" w:rsidRPr="00217328" w:rsidTr="00653B72">
        <w:tc>
          <w:tcPr>
            <w:tcW w:w="1937" w:type="dxa"/>
            <w:shd w:val="pct5" w:color="000000" w:fill="FFFFFF"/>
          </w:tcPr>
          <w:p w:rsidR="001C3662" w:rsidRPr="00217328" w:rsidRDefault="001C3662" w:rsidP="007A1404">
            <w:pPr>
              <w:spacing w:line="360" w:lineRule="auto"/>
              <w:rPr>
                <w:rFonts w:ascii="Garamond" w:hAnsi="Garamond"/>
              </w:rPr>
            </w:pPr>
            <w:r w:rsidRPr="00217328">
              <w:rPr>
                <w:rFonts w:ascii="Garamond" w:hAnsi="Garamond"/>
              </w:rPr>
              <w:t xml:space="preserve">Income </w:t>
            </w:r>
          </w:p>
        </w:tc>
        <w:tc>
          <w:tcPr>
            <w:tcW w:w="0" w:type="auto"/>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0.0008</w:t>
            </w:r>
          </w:p>
        </w:tc>
        <w:tc>
          <w:tcPr>
            <w:tcW w:w="1256" w:type="dxa"/>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[1.108]</w:t>
            </w:r>
          </w:p>
        </w:tc>
        <w:tc>
          <w:tcPr>
            <w:tcW w:w="0" w:type="auto"/>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-0.0024</w:t>
            </w:r>
          </w:p>
        </w:tc>
        <w:tc>
          <w:tcPr>
            <w:tcW w:w="1234" w:type="dxa"/>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[-0.138]</w:t>
            </w:r>
          </w:p>
        </w:tc>
        <w:tc>
          <w:tcPr>
            <w:tcW w:w="0" w:type="auto"/>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0.0061*</w:t>
            </w:r>
          </w:p>
        </w:tc>
        <w:tc>
          <w:tcPr>
            <w:tcW w:w="1319" w:type="dxa"/>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[-1.995]</w:t>
            </w:r>
          </w:p>
        </w:tc>
      </w:tr>
      <w:tr w:rsidR="001C3662" w:rsidRPr="00217328" w:rsidTr="00653B72">
        <w:tc>
          <w:tcPr>
            <w:tcW w:w="1937" w:type="dxa"/>
            <w:shd w:val="pct20" w:color="000000" w:fill="FFFFFF"/>
          </w:tcPr>
          <w:p w:rsidR="001C3662" w:rsidRPr="00217328" w:rsidRDefault="001C3662" w:rsidP="007A1404">
            <w:pPr>
              <w:spacing w:line="360" w:lineRule="auto"/>
              <w:rPr>
                <w:rFonts w:ascii="Garamond" w:hAnsi="Garamond"/>
              </w:rPr>
            </w:pPr>
            <w:r w:rsidRPr="00217328">
              <w:rPr>
                <w:rFonts w:ascii="Garamond" w:hAnsi="Garamond"/>
              </w:rPr>
              <w:t>Capital Control</w:t>
            </w:r>
          </w:p>
        </w:tc>
        <w:tc>
          <w:tcPr>
            <w:tcW w:w="0" w:type="auto"/>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0.1591</w:t>
            </w:r>
            <w:r w:rsidRPr="00217328">
              <w:rPr>
                <w:rFonts w:ascii="Garamond" w:hAnsi="Garamond"/>
                <w:vertAlign w:val="superscript"/>
              </w:rPr>
              <w:t>***</w:t>
            </w:r>
          </w:p>
          <w:p w:rsidR="001C3662" w:rsidRPr="00217328" w:rsidRDefault="001C3662" w:rsidP="007A1404">
            <w:pPr>
              <w:spacing w:line="360" w:lineRule="auto"/>
              <w:jc w:val="center"/>
              <w:rPr>
                <w:rFonts w:ascii="Garamond" w:hAnsi="Garamond"/>
              </w:rPr>
            </w:pPr>
          </w:p>
        </w:tc>
        <w:tc>
          <w:tcPr>
            <w:tcW w:w="1256" w:type="dxa"/>
            <w:shd w:val="pct20" w:color="000000" w:fill="FFFFFF"/>
          </w:tcPr>
          <w:p w:rsidR="001C3662" w:rsidRPr="00217328" w:rsidRDefault="001C3662" w:rsidP="007A1404">
            <w:pPr>
              <w:spacing w:line="360" w:lineRule="auto"/>
              <w:jc w:val="center"/>
              <w:rPr>
                <w:rFonts w:ascii="Garamond" w:hAnsi="Garamond"/>
                <w:vertAlign w:val="superscript"/>
              </w:rPr>
            </w:pPr>
            <w:r w:rsidRPr="00217328">
              <w:rPr>
                <w:rFonts w:ascii="Garamond" w:hAnsi="Garamond"/>
              </w:rPr>
              <w:t>[4.8116]</w:t>
            </w:r>
          </w:p>
        </w:tc>
        <w:tc>
          <w:tcPr>
            <w:tcW w:w="0" w:type="auto"/>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0.0211</w:t>
            </w:r>
          </w:p>
        </w:tc>
        <w:tc>
          <w:tcPr>
            <w:tcW w:w="1234" w:type="dxa"/>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[0.261]</w:t>
            </w:r>
          </w:p>
        </w:tc>
        <w:tc>
          <w:tcPr>
            <w:tcW w:w="0" w:type="auto"/>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0.2325</w:t>
            </w:r>
            <w:r w:rsidRPr="00217328">
              <w:rPr>
                <w:rFonts w:ascii="Garamond" w:hAnsi="Garamond"/>
                <w:vertAlign w:val="superscript"/>
              </w:rPr>
              <w:t>***</w:t>
            </w:r>
          </w:p>
        </w:tc>
        <w:tc>
          <w:tcPr>
            <w:tcW w:w="1319" w:type="dxa"/>
            <w:shd w:val="pct20" w:color="000000" w:fill="FFFFFF"/>
          </w:tcPr>
          <w:p w:rsidR="001C3662" w:rsidRPr="00217328" w:rsidRDefault="001C3662" w:rsidP="007A1404">
            <w:pPr>
              <w:spacing w:line="360" w:lineRule="auto"/>
              <w:jc w:val="center"/>
              <w:rPr>
                <w:rFonts w:ascii="Garamond" w:hAnsi="Garamond"/>
                <w:vertAlign w:val="superscript"/>
              </w:rPr>
            </w:pPr>
            <w:r w:rsidRPr="00217328">
              <w:rPr>
                <w:rFonts w:ascii="Garamond" w:hAnsi="Garamond"/>
              </w:rPr>
              <w:t>[6.1604]</w:t>
            </w:r>
          </w:p>
        </w:tc>
      </w:tr>
      <w:tr w:rsidR="001C3662" w:rsidRPr="00217328" w:rsidTr="00C12F67">
        <w:tc>
          <w:tcPr>
            <w:tcW w:w="1937" w:type="dxa"/>
            <w:shd w:val="pct5" w:color="000000" w:fill="FFFFFF"/>
          </w:tcPr>
          <w:p w:rsidR="001C3662" w:rsidRPr="00217328" w:rsidRDefault="001C3662" w:rsidP="007A1404">
            <w:pPr>
              <w:spacing w:line="360" w:lineRule="auto"/>
              <w:rPr>
                <w:rFonts w:ascii="Garamond" w:hAnsi="Garamond"/>
              </w:rPr>
            </w:pPr>
            <w:r w:rsidRPr="00217328">
              <w:rPr>
                <w:rFonts w:ascii="Garamond" w:hAnsi="Garamond"/>
              </w:rPr>
              <w:t>Constant</w:t>
            </w:r>
          </w:p>
        </w:tc>
        <w:tc>
          <w:tcPr>
            <w:tcW w:w="0" w:type="auto"/>
            <w:tcBorders>
              <w:bottom w:val="single" w:sz="4" w:space="0" w:color="auto"/>
            </w:tcBorders>
            <w:shd w:val="pct5" w:color="000000" w:fill="FFFFFF"/>
          </w:tcPr>
          <w:tbl>
            <w:tblPr>
              <w:tblW w:w="0" w:type="auto"/>
              <w:tblInd w:w="30" w:type="dxa"/>
              <w:tblCellMar>
                <w:left w:w="30" w:type="dxa"/>
                <w:right w:w="30" w:type="dxa"/>
              </w:tblCellMar>
              <w:tblLook w:val="0000"/>
            </w:tblPr>
            <w:tblGrid>
              <w:gridCol w:w="1010"/>
            </w:tblGrid>
            <w:tr w:rsidR="001C3662" w:rsidRPr="00217328">
              <w:trPr>
                <w:trHeight w:val="272"/>
              </w:trPr>
              <w:tc>
                <w:tcPr>
                  <w:tcW w:w="1010" w:type="dxa"/>
                  <w:tcBorders>
                    <w:top w:val="nil"/>
                    <w:left w:val="nil"/>
                    <w:bottom w:val="nil"/>
                    <w:right w:val="nil"/>
                  </w:tcBorders>
                  <w:vAlign w:val="bottom"/>
                </w:tcPr>
                <w:p w:rsidR="001C3662" w:rsidRPr="00217328" w:rsidRDefault="001C3662" w:rsidP="007A1404">
                  <w:pPr>
                    <w:autoSpaceDE w:val="0"/>
                    <w:autoSpaceDN w:val="0"/>
                    <w:adjustRightInd w:val="0"/>
                    <w:spacing w:line="360" w:lineRule="auto"/>
                    <w:ind w:right="10"/>
                    <w:jc w:val="right"/>
                    <w:rPr>
                      <w:rFonts w:ascii="Garamond" w:hAnsi="Garamond"/>
                      <w:color w:val="000000"/>
                    </w:rPr>
                  </w:pPr>
                  <w:r w:rsidRPr="00217328">
                    <w:rPr>
                      <w:rFonts w:ascii="Garamond" w:hAnsi="Garamond"/>
                      <w:color w:val="000000"/>
                    </w:rPr>
                    <w:t>-2.35***</w:t>
                  </w:r>
                </w:p>
              </w:tc>
            </w:tr>
          </w:tbl>
          <w:p w:rsidR="001C3662" w:rsidRPr="00217328" w:rsidRDefault="001C3662" w:rsidP="007A1404">
            <w:pPr>
              <w:autoSpaceDE w:val="0"/>
              <w:autoSpaceDN w:val="0"/>
              <w:adjustRightInd w:val="0"/>
              <w:spacing w:line="360" w:lineRule="auto"/>
              <w:jc w:val="center"/>
              <w:rPr>
                <w:rFonts w:ascii="Garamond" w:hAnsi="Garamond"/>
              </w:rPr>
            </w:pPr>
          </w:p>
        </w:tc>
        <w:tc>
          <w:tcPr>
            <w:tcW w:w="1256" w:type="dxa"/>
            <w:tcBorders>
              <w:bottom w:val="single" w:sz="4" w:space="0" w:color="auto"/>
            </w:tcBorders>
            <w:shd w:val="pct5" w:color="000000" w:fill="FFFFFF"/>
          </w:tcPr>
          <w:tbl>
            <w:tblPr>
              <w:tblW w:w="0" w:type="auto"/>
              <w:tblInd w:w="30" w:type="dxa"/>
              <w:tblCellMar>
                <w:left w:w="30" w:type="dxa"/>
                <w:right w:w="30" w:type="dxa"/>
              </w:tblCellMar>
              <w:tblLook w:val="0000"/>
            </w:tblPr>
            <w:tblGrid>
              <w:gridCol w:w="1010"/>
            </w:tblGrid>
            <w:tr w:rsidR="001C3662" w:rsidRPr="00217328" w:rsidTr="00BF02C2">
              <w:trPr>
                <w:trHeight w:val="272"/>
              </w:trPr>
              <w:tc>
                <w:tcPr>
                  <w:tcW w:w="1010" w:type="dxa"/>
                  <w:tcBorders>
                    <w:top w:val="nil"/>
                    <w:left w:val="nil"/>
                    <w:bottom w:val="nil"/>
                    <w:right w:val="nil"/>
                  </w:tcBorders>
                  <w:vAlign w:val="bottom"/>
                </w:tcPr>
                <w:p w:rsidR="001C3662" w:rsidRPr="00217328" w:rsidRDefault="001C3662" w:rsidP="007A1404">
                  <w:pPr>
                    <w:autoSpaceDE w:val="0"/>
                    <w:autoSpaceDN w:val="0"/>
                    <w:adjustRightInd w:val="0"/>
                    <w:spacing w:line="360" w:lineRule="auto"/>
                    <w:ind w:right="10"/>
                    <w:rPr>
                      <w:rFonts w:ascii="Garamond" w:hAnsi="Garamond"/>
                      <w:color w:val="000000"/>
                    </w:rPr>
                  </w:pPr>
                  <w:r w:rsidRPr="00217328">
                    <w:rPr>
                      <w:rFonts w:ascii="Garamond" w:hAnsi="Garamond"/>
                    </w:rPr>
                    <w:t>[</w:t>
                  </w:r>
                  <w:r w:rsidRPr="00217328">
                    <w:rPr>
                      <w:rFonts w:ascii="Garamond" w:hAnsi="Garamond"/>
                      <w:color w:val="000000"/>
                    </w:rPr>
                    <w:t>-4.0059</w:t>
                  </w:r>
                  <w:r w:rsidRPr="00217328">
                    <w:rPr>
                      <w:rFonts w:ascii="Garamond" w:hAnsi="Garamond"/>
                    </w:rPr>
                    <w:t>]</w:t>
                  </w:r>
                </w:p>
              </w:tc>
            </w:tr>
          </w:tbl>
          <w:p w:rsidR="001C3662" w:rsidRPr="00217328" w:rsidRDefault="001C3662" w:rsidP="007A1404">
            <w:pPr>
              <w:spacing w:line="360" w:lineRule="auto"/>
              <w:jc w:val="center"/>
              <w:rPr>
                <w:rFonts w:ascii="Garamond" w:hAnsi="Garamond"/>
              </w:rPr>
            </w:pPr>
          </w:p>
        </w:tc>
        <w:tc>
          <w:tcPr>
            <w:tcW w:w="0" w:type="auto"/>
            <w:shd w:val="pct5" w:color="000000" w:fill="FFFFFF"/>
          </w:tcPr>
          <w:p w:rsidR="001C3662" w:rsidRPr="00217328" w:rsidRDefault="001C3662" w:rsidP="007A1404">
            <w:pPr>
              <w:autoSpaceDE w:val="0"/>
              <w:autoSpaceDN w:val="0"/>
              <w:adjustRightInd w:val="0"/>
              <w:spacing w:line="360" w:lineRule="auto"/>
              <w:jc w:val="center"/>
              <w:rPr>
                <w:rFonts w:ascii="Garamond" w:hAnsi="Garamond"/>
              </w:rPr>
            </w:pPr>
            <w:r w:rsidRPr="00217328">
              <w:rPr>
                <w:rFonts w:ascii="Garamond" w:hAnsi="Garamond"/>
              </w:rPr>
              <w:t>-0.463</w:t>
            </w:r>
          </w:p>
        </w:tc>
        <w:tc>
          <w:tcPr>
            <w:tcW w:w="1234" w:type="dxa"/>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[-0.402]</w:t>
            </w:r>
          </w:p>
        </w:tc>
        <w:tc>
          <w:tcPr>
            <w:tcW w:w="0" w:type="auto"/>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-3.115***</w:t>
            </w:r>
          </w:p>
        </w:tc>
        <w:tc>
          <w:tcPr>
            <w:tcW w:w="1319" w:type="dxa"/>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[-4.293]</w:t>
            </w:r>
          </w:p>
        </w:tc>
      </w:tr>
      <w:tr w:rsidR="001C3662" w:rsidRPr="00217328" w:rsidTr="00C12F67">
        <w:tc>
          <w:tcPr>
            <w:tcW w:w="1937" w:type="dxa"/>
            <w:shd w:val="pct5" w:color="000000" w:fill="FFFFFF"/>
          </w:tcPr>
          <w:p w:rsidR="001C3662" w:rsidRPr="00217328" w:rsidRDefault="001C3662" w:rsidP="007A1404">
            <w:pPr>
              <w:spacing w:line="360" w:lineRule="auto"/>
              <w:rPr>
                <w:rFonts w:ascii="Garamond" w:hAnsi="Garamond"/>
              </w:rPr>
            </w:pPr>
          </w:p>
        </w:tc>
        <w:tc>
          <w:tcPr>
            <w:tcW w:w="0" w:type="auto"/>
            <w:tcBorders>
              <w:bottom w:val="single" w:sz="4" w:space="0" w:color="auto"/>
            </w:tcBorders>
            <w:shd w:val="pct5" w:color="000000" w:fill="FFFFFF"/>
          </w:tcPr>
          <w:p w:rsidR="001C3662" w:rsidRPr="00217328" w:rsidRDefault="001C3662" w:rsidP="007A1404">
            <w:pPr>
              <w:autoSpaceDE w:val="0"/>
              <w:autoSpaceDN w:val="0"/>
              <w:adjustRightInd w:val="0"/>
              <w:spacing w:line="360" w:lineRule="auto"/>
              <w:jc w:val="center"/>
              <w:rPr>
                <w:rFonts w:ascii="Garamond" w:hAnsi="Garamond"/>
              </w:rPr>
            </w:pPr>
          </w:p>
        </w:tc>
        <w:tc>
          <w:tcPr>
            <w:tcW w:w="1256" w:type="dxa"/>
            <w:tcBorders>
              <w:bottom w:val="single" w:sz="4" w:space="0" w:color="auto"/>
            </w:tcBorders>
            <w:shd w:val="pct5" w:color="000000" w:fill="FFFFFF"/>
          </w:tcPr>
          <w:p w:rsidR="001C3662" w:rsidRPr="00217328" w:rsidRDefault="001C3662" w:rsidP="007A1404">
            <w:pPr>
              <w:spacing w:line="360" w:lineRule="auto"/>
              <w:jc w:val="center"/>
              <w:rPr>
                <w:rFonts w:ascii="Garamond" w:hAnsi="Garamond"/>
              </w:rPr>
            </w:pPr>
          </w:p>
        </w:tc>
        <w:tc>
          <w:tcPr>
            <w:tcW w:w="0" w:type="auto"/>
            <w:shd w:val="pct5" w:color="000000" w:fill="FFFFFF"/>
          </w:tcPr>
          <w:p w:rsidR="001C3662" w:rsidRPr="00217328" w:rsidRDefault="001C3662" w:rsidP="007A1404">
            <w:pPr>
              <w:autoSpaceDE w:val="0"/>
              <w:autoSpaceDN w:val="0"/>
              <w:adjustRightInd w:val="0"/>
              <w:spacing w:line="360" w:lineRule="auto"/>
              <w:jc w:val="center"/>
              <w:rPr>
                <w:rFonts w:ascii="Garamond" w:hAnsi="Garamond"/>
              </w:rPr>
            </w:pPr>
          </w:p>
        </w:tc>
        <w:tc>
          <w:tcPr>
            <w:tcW w:w="1234" w:type="dxa"/>
            <w:shd w:val="pct5" w:color="000000" w:fill="FFFFFF"/>
          </w:tcPr>
          <w:p w:rsidR="001C3662" w:rsidRPr="00217328" w:rsidRDefault="001C3662" w:rsidP="007A1404">
            <w:pPr>
              <w:spacing w:line="360" w:lineRule="auto"/>
              <w:jc w:val="center"/>
              <w:rPr>
                <w:rFonts w:ascii="Garamond" w:hAnsi="Garamond"/>
              </w:rPr>
            </w:pPr>
          </w:p>
        </w:tc>
        <w:tc>
          <w:tcPr>
            <w:tcW w:w="0" w:type="auto"/>
            <w:shd w:val="pct5" w:color="000000" w:fill="FFFFFF"/>
          </w:tcPr>
          <w:p w:rsidR="001C3662" w:rsidRPr="00217328" w:rsidRDefault="001C3662" w:rsidP="007A1404">
            <w:pPr>
              <w:spacing w:line="360" w:lineRule="auto"/>
              <w:jc w:val="center"/>
              <w:rPr>
                <w:rFonts w:ascii="Garamond" w:hAnsi="Garamond"/>
              </w:rPr>
            </w:pPr>
          </w:p>
        </w:tc>
        <w:tc>
          <w:tcPr>
            <w:tcW w:w="1319" w:type="dxa"/>
            <w:shd w:val="pct5" w:color="000000" w:fill="FFFFFF"/>
          </w:tcPr>
          <w:p w:rsidR="001C3662" w:rsidRPr="00217328" w:rsidRDefault="001C3662" w:rsidP="007A1404">
            <w:pPr>
              <w:spacing w:line="360" w:lineRule="auto"/>
              <w:jc w:val="center"/>
              <w:rPr>
                <w:rFonts w:ascii="Garamond" w:hAnsi="Garamond"/>
              </w:rPr>
            </w:pPr>
          </w:p>
        </w:tc>
      </w:tr>
      <w:tr w:rsidR="001C3662" w:rsidRPr="00217328" w:rsidTr="00811FEE">
        <w:tc>
          <w:tcPr>
            <w:tcW w:w="1937" w:type="dxa"/>
            <w:shd w:val="pct5" w:color="000000" w:fill="FFFFFF"/>
          </w:tcPr>
          <w:p w:rsidR="001C3662" w:rsidRPr="00217328" w:rsidRDefault="001C3662" w:rsidP="007A1404">
            <w:pPr>
              <w:spacing w:line="360" w:lineRule="auto"/>
              <w:rPr>
                <w:rFonts w:ascii="Garamond" w:hAnsi="Garamond"/>
                <w:vertAlign w:val="superscript"/>
              </w:rPr>
            </w:pPr>
            <w:r w:rsidRPr="00217328">
              <w:rPr>
                <w:rFonts w:ascii="Garamond" w:hAnsi="Garamond"/>
              </w:rPr>
              <w:t>Coefficient of Determination</w:t>
            </w:r>
          </w:p>
        </w:tc>
        <w:tc>
          <w:tcPr>
            <w:tcW w:w="2596" w:type="dxa"/>
            <w:gridSpan w:val="2"/>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0.442</w:t>
            </w:r>
          </w:p>
        </w:tc>
        <w:tc>
          <w:tcPr>
            <w:tcW w:w="2574" w:type="dxa"/>
            <w:gridSpan w:val="2"/>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0.358</w:t>
            </w:r>
          </w:p>
        </w:tc>
        <w:tc>
          <w:tcPr>
            <w:tcW w:w="2659" w:type="dxa"/>
            <w:gridSpan w:val="2"/>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0.5195</w:t>
            </w:r>
          </w:p>
        </w:tc>
      </w:tr>
      <w:tr w:rsidR="001C3662" w:rsidRPr="00217328" w:rsidTr="00811FEE">
        <w:tc>
          <w:tcPr>
            <w:tcW w:w="1937" w:type="dxa"/>
            <w:shd w:val="pct20" w:color="000000" w:fill="FFFFFF"/>
          </w:tcPr>
          <w:p w:rsidR="001C3662" w:rsidRPr="00217328" w:rsidRDefault="001C3662" w:rsidP="007A1404">
            <w:pPr>
              <w:spacing w:line="360" w:lineRule="auto"/>
              <w:rPr>
                <w:rFonts w:ascii="Garamond" w:hAnsi="Garamond"/>
              </w:rPr>
            </w:pPr>
            <w:r w:rsidRPr="00217328">
              <w:rPr>
                <w:rFonts w:ascii="Garamond" w:hAnsi="Garamond"/>
              </w:rPr>
              <w:t>F-test Statistic</w:t>
            </w:r>
          </w:p>
        </w:tc>
        <w:tc>
          <w:tcPr>
            <w:tcW w:w="2596" w:type="dxa"/>
            <w:gridSpan w:val="2"/>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15.732</w:t>
            </w:r>
            <w:r w:rsidRPr="00217328">
              <w:rPr>
                <w:rFonts w:ascii="Garamond" w:hAnsi="Garamond"/>
                <w:vertAlign w:val="superscript"/>
              </w:rPr>
              <w:t>***</w:t>
            </w:r>
          </w:p>
        </w:tc>
        <w:tc>
          <w:tcPr>
            <w:tcW w:w="2574" w:type="dxa"/>
            <w:gridSpan w:val="2"/>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12.1154</w:t>
            </w:r>
            <w:r w:rsidRPr="00217328">
              <w:rPr>
                <w:rFonts w:ascii="Garamond" w:hAnsi="Garamond"/>
                <w:vertAlign w:val="superscript"/>
              </w:rPr>
              <w:t>***</w:t>
            </w:r>
          </w:p>
        </w:tc>
        <w:tc>
          <w:tcPr>
            <w:tcW w:w="2659" w:type="dxa"/>
            <w:gridSpan w:val="2"/>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24.313</w:t>
            </w:r>
            <w:r w:rsidRPr="00217328">
              <w:rPr>
                <w:rFonts w:ascii="Garamond" w:hAnsi="Garamond"/>
                <w:vertAlign w:val="superscript"/>
              </w:rPr>
              <w:t>***</w:t>
            </w:r>
          </w:p>
        </w:tc>
      </w:tr>
      <w:tr w:rsidR="001C3662" w:rsidRPr="00217328" w:rsidTr="00811FEE">
        <w:tc>
          <w:tcPr>
            <w:tcW w:w="1937" w:type="dxa"/>
            <w:shd w:val="pct5" w:color="000000" w:fill="FFFFFF"/>
          </w:tcPr>
          <w:p w:rsidR="001C3662" w:rsidRPr="00217328" w:rsidRDefault="001C3662" w:rsidP="007A1404">
            <w:pPr>
              <w:spacing w:line="360" w:lineRule="auto"/>
              <w:rPr>
                <w:rFonts w:ascii="Garamond" w:hAnsi="Garamond"/>
              </w:rPr>
            </w:pPr>
            <w:r w:rsidRPr="00217328">
              <w:rPr>
                <w:rFonts w:ascii="Garamond" w:hAnsi="Garamond"/>
              </w:rPr>
              <w:t>Standard Error</w:t>
            </w:r>
          </w:p>
        </w:tc>
        <w:tc>
          <w:tcPr>
            <w:tcW w:w="2596" w:type="dxa"/>
            <w:gridSpan w:val="2"/>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0.235</w:t>
            </w:r>
          </w:p>
        </w:tc>
        <w:tc>
          <w:tcPr>
            <w:tcW w:w="2574" w:type="dxa"/>
            <w:gridSpan w:val="2"/>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0.2555</w:t>
            </w:r>
          </w:p>
        </w:tc>
        <w:tc>
          <w:tcPr>
            <w:tcW w:w="2659" w:type="dxa"/>
            <w:gridSpan w:val="2"/>
            <w:shd w:val="pct5"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0.2025</w:t>
            </w:r>
          </w:p>
        </w:tc>
      </w:tr>
      <w:tr w:rsidR="001C3662" w:rsidRPr="00217328" w:rsidTr="00811FEE">
        <w:tc>
          <w:tcPr>
            <w:tcW w:w="1937" w:type="dxa"/>
            <w:shd w:val="pct20" w:color="000000" w:fill="FFFFFF"/>
          </w:tcPr>
          <w:p w:rsidR="001C3662" w:rsidRPr="00217328" w:rsidRDefault="001C3662" w:rsidP="007A1404">
            <w:pPr>
              <w:spacing w:line="360" w:lineRule="auto"/>
              <w:rPr>
                <w:rFonts w:ascii="Garamond" w:hAnsi="Garamond"/>
              </w:rPr>
            </w:pPr>
            <w:r w:rsidRPr="00217328">
              <w:rPr>
                <w:rFonts w:ascii="Garamond" w:hAnsi="Garamond"/>
              </w:rPr>
              <w:t>Durbin-Watson Statistic</w:t>
            </w:r>
          </w:p>
        </w:tc>
        <w:tc>
          <w:tcPr>
            <w:tcW w:w="2596" w:type="dxa"/>
            <w:gridSpan w:val="2"/>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1.7254</w:t>
            </w:r>
          </w:p>
        </w:tc>
        <w:tc>
          <w:tcPr>
            <w:tcW w:w="2574" w:type="dxa"/>
            <w:gridSpan w:val="2"/>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1.6258</w:t>
            </w:r>
          </w:p>
        </w:tc>
        <w:tc>
          <w:tcPr>
            <w:tcW w:w="2659" w:type="dxa"/>
            <w:gridSpan w:val="2"/>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1.8415</w:t>
            </w:r>
          </w:p>
        </w:tc>
      </w:tr>
      <w:tr w:rsidR="001C3662" w:rsidRPr="00217328" w:rsidTr="00653B72">
        <w:tc>
          <w:tcPr>
            <w:tcW w:w="1937" w:type="dxa"/>
            <w:shd w:val="pct20" w:color="000000" w:fill="FFFFFF"/>
          </w:tcPr>
          <w:p w:rsidR="001C3662" w:rsidRPr="00217328" w:rsidRDefault="001C3662" w:rsidP="007A1404">
            <w:pPr>
              <w:spacing w:line="360" w:lineRule="auto"/>
              <w:rPr>
                <w:rFonts w:ascii="Garamond" w:hAnsi="Garamond"/>
              </w:rPr>
            </w:pPr>
            <w:r w:rsidRPr="00217328">
              <w:rPr>
                <w:rFonts w:ascii="Garamond" w:hAnsi="Garamond"/>
              </w:rPr>
              <w:t>Serial Correlation LM Test (Prob.)</w:t>
            </w:r>
          </w:p>
        </w:tc>
        <w:tc>
          <w:tcPr>
            <w:tcW w:w="2596" w:type="dxa"/>
            <w:gridSpan w:val="2"/>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1.23</w:t>
            </w:r>
          </w:p>
        </w:tc>
        <w:tc>
          <w:tcPr>
            <w:tcW w:w="2574" w:type="dxa"/>
            <w:gridSpan w:val="2"/>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0.93</w:t>
            </w:r>
          </w:p>
        </w:tc>
        <w:tc>
          <w:tcPr>
            <w:tcW w:w="2659" w:type="dxa"/>
            <w:gridSpan w:val="2"/>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1.01</w:t>
            </w:r>
          </w:p>
        </w:tc>
      </w:tr>
      <w:tr w:rsidR="001C3662" w:rsidRPr="00217328" w:rsidTr="00653B72">
        <w:tc>
          <w:tcPr>
            <w:tcW w:w="1937" w:type="dxa"/>
            <w:shd w:val="pct20" w:color="000000" w:fill="FFFFFF"/>
          </w:tcPr>
          <w:p w:rsidR="001C3662" w:rsidRPr="00217328" w:rsidRDefault="001C3662" w:rsidP="007A1404">
            <w:pPr>
              <w:spacing w:line="360" w:lineRule="auto"/>
              <w:rPr>
                <w:rFonts w:ascii="Garamond" w:hAnsi="Garamond"/>
              </w:rPr>
            </w:pPr>
            <w:r w:rsidRPr="00217328">
              <w:rPr>
                <w:rFonts w:ascii="Garamond" w:hAnsi="Garamond"/>
              </w:rPr>
              <w:t>Normality of Residuals (</w:t>
            </w:r>
            <w:r w:rsidRPr="00217328">
              <w:rPr>
                <w:rFonts w:ascii="Garamond" w:hAnsi="Garamond"/>
                <w:position w:val="-12"/>
              </w:rPr>
              <w:object w:dxaOrig="380" w:dyaOrig="380">
                <v:shape id="_x0000_i1052" type="#_x0000_t75" style="width:18.75pt;height:18.75pt" o:ole="">
                  <v:imagedata r:id="rId75" o:title=""/>
                </v:shape>
                <o:OLEObject Type="Embed" ProgID="Equation.DSMT4" ShapeID="_x0000_i1052" DrawAspect="Content" ObjectID="_1380518039" r:id="rId76"/>
              </w:object>
            </w:r>
            <w:r w:rsidRPr="00217328">
              <w:rPr>
                <w:rFonts w:ascii="Garamond" w:hAnsi="Garamond"/>
              </w:rPr>
              <w:t>)</w:t>
            </w:r>
          </w:p>
        </w:tc>
        <w:tc>
          <w:tcPr>
            <w:tcW w:w="2596" w:type="dxa"/>
            <w:gridSpan w:val="2"/>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5.53</w:t>
            </w:r>
          </w:p>
        </w:tc>
        <w:tc>
          <w:tcPr>
            <w:tcW w:w="2574" w:type="dxa"/>
            <w:gridSpan w:val="2"/>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4.85</w:t>
            </w:r>
          </w:p>
        </w:tc>
        <w:tc>
          <w:tcPr>
            <w:tcW w:w="2659" w:type="dxa"/>
            <w:gridSpan w:val="2"/>
            <w:shd w:val="pct20" w:color="000000" w:fill="FFFFFF"/>
          </w:tcPr>
          <w:p w:rsidR="001C3662" w:rsidRPr="00217328" w:rsidRDefault="001C3662" w:rsidP="007A1404">
            <w:pPr>
              <w:spacing w:line="360" w:lineRule="auto"/>
              <w:jc w:val="center"/>
              <w:rPr>
                <w:rFonts w:ascii="Garamond" w:hAnsi="Garamond"/>
              </w:rPr>
            </w:pPr>
            <w:r w:rsidRPr="00217328">
              <w:rPr>
                <w:rFonts w:ascii="Garamond" w:hAnsi="Garamond"/>
              </w:rPr>
              <w:t>5.32</w:t>
            </w:r>
          </w:p>
        </w:tc>
      </w:tr>
      <w:tr w:rsidR="001C3662" w:rsidRPr="00217328" w:rsidTr="00653B72">
        <w:tc>
          <w:tcPr>
            <w:tcW w:w="1937" w:type="dxa"/>
            <w:shd w:val="pct20" w:color="000000" w:fill="FFFFFF"/>
          </w:tcPr>
          <w:p w:rsidR="001C3662" w:rsidRPr="00217328" w:rsidRDefault="001C3662" w:rsidP="007A1404">
            <w:pPr>
              <w:spacing w:line="360" w:lineRule="auto"/>
              <w:rPr>
                <w:rFonts w:ascii="Garamond" w:hAnsi="Garamond"/>
              </w:rPr>
            </w:pPr>
            <w:r w:rsidRPr="00217328">
              <w:rPr>
                <w:rFonts w:ascii="Garamond" w:hAnsi="Garamond"/>
              </w:rPr>
              <w:t>Wald-test for group wise heteroscedasticity</w:t>
            </w:r>
          </w:p>
        </w:tc>
        <w:tc>
          <w:tcPr>
            <w:tcW w:w="2596" w:type="dxa"/>
            <w:gridSpan w:val="2"/>
            <w:shd w:val="pct20" w:color="000000" w:fill="FFFFFF"/>
          </w:tcPr>
          <w:p w:rsidR="001C3662" w:rsidRPr="00217328" w:rsidRDefault="001C3662" w:rsidP="007A1404">
            <w:pPr>
              <w:spacing w:line="360" w:lineRule="auto"/>
              <w:jc w:val="center"/>
              <w:rPr>
                <w:rFonts w:ascii="Garamond" w:hAnsi="Garamond"/>
              </w:rPr>
            </w:pPr>
          </w:p>
          <w:p w:rsidR="001C3662" w:rsidRPr="00217328" w:rsidRDefault="001C3662" w:rsidP="007A1404">
            <w:pPr>
              <w:spacing w:line="360" w:lineRule="auto"/>
              <w:jc w:val="center"/>
              <w:rPr>
                <w:rFonts w:ascii="Garamond" w:hAnsi="Garamond"/>
              </w:rPr>
            </w:pPr>
            <w:r w:rsidRPr="00217328">
              <w:rPr>
                <w:rFonts w:ascii="Garamond" w:hAnsi="Garamond"/>
              </w:rPr>
              <w:t>(0.00)</w:t>
            </w:r>
          </w:p>
        </w:tc>
        <w:tc>
          <w:tcPr>
            <w:tcW w:w="2574" w:type="dxa"/>
            <w:gridSpan w:val="2"/>
            <w:shd w:val="pct20" w:color="000000" w:fill="FFFFFF"/>
          </w:tcPr>
          <w:p w:rsidR="001C3662" w:rsidRPr="00217328" w:rsidRDefault="001C3662" w:rsidP="007A1404">
            <w:pPr>
              <w:spacing w:line="360" w:lineRule="auto"/>
              <w:jc w:val="center"/>
              <w:rPr>
                <w:rFonts w:ascii="Garamond" w:hAnsi="Garamond"/>
              </w:rPr>
            </w:pPr>
          </w:p>
          <w:p w:rsidR="001C3662" w:rsidRPr="00217328" w:rsidRDefault="001C3662" w:rsidP="007A1404">
            <w:pPr>
              <w:spacing w:line="360" w:lineRule="auto"/>
              <w:jc w:val="center"/>
              <w:rPr>
                <w:rFonts w:ascii="Garamond" w:hAnsi="Garamond"/>
              </w:rPr>
            </w:pPr>
            <w:r w:rsidRPr="00217328">
              <w:rPr>
                <w:rFonts w:ascii="Garamond" w:hAnsi="Garamond"/>
              </w:rPr>
              <w:t>(0.00)</w:t>
            </w:r>
          </w:p>
        </w:tc>
        <w:tc>
          <w:tcPr>
            <w:tcW w:w="2659" w:type="dxa"/>
            <w:gridSpan w:val="2"/>
            <w:shd w:val="pct20" w:color="000000" w:fill="FFFFFF"/>
          </w:tcPr>
          <w:p w:rsidR="001C3662" w:rsidRPr="00217328" w:rsidRDefault="001C3662" w:rsidP="007A1404">
            <w:pPr>
              <w:spacing w:line="360" w:lineRule="auto"/>
              <w:jc w:val="center"/>
              <w:rPr>
                <w:rFonts w:ascii="Garamond" w:hAnsi="Garamond"/>
              </w:rPr>
            </w:pPr>
          </w:p>
          <w:p w:rsidR="001C3662" w:rsidRPr="00217328" w:rsidRDefault="001C3662" w:rsidP="007A1404">
            <w:pPr>
              <w:spacing w:line="360" w:lineRule="auto"/>
              <w:jc w:val="center"/>
              <w:rPr>
                <w:rFonts w:ascii="Garamond" w:hAnsi="Garamond"/>
              </w:rPr>
            </w:pPr>
            <w:r w:rsidRPr="00217328">
              <w:rPr>
                <w:rFonts w:ascii="Garamond" w:hAnsi="Garamond"/>
              </w:rPr>
              <w:t>(0.00)</w:t>
            </w:r>
          </w:p>
        </w:tc>
      </w:tr>
    </w:tbl>
    <w:p w:rsidR="003561E1" w:rsidRPr="00284260" w:rsidRDefault="003561E1" w:rsidP="00432C32">
      <w:pPr>
        <w:spacing w:line="360" w:lineRule="auto"/>
        <w:rPr>
          <w:rFonts w:ascii="Garamond" w:hAnsi="Garamond"/>
          <w:sz w:val="20"/>
          <w:szCs w:val="20"/>
        </w:rPr>
      </w:pPr>
      <w:r w:rsidRPr="00217328">
        <w:rPr>
          <w:rFonts w:ascii="Garamond" w:hAnsi="Garamond"/>
          <w:i/>
          <w:sz w:val="20"/>
          <w:szCs w:val="20"/>
        </w:rPr>
        <w:t>Notes</w:t>
      </w:r>
      <w:r w:rsidRPr="00217328">
        <w:rPr>
          <w:rFonts w:ascii="Garamond" w:hAnsi="Garamond"/>
          <w:sz w:val="20"/>
          <w:szCs w:val="20"/>
        </w:rPr>
        <w:t xml:space="preserve">: The values in brackets [ ] are the t-statistic, and ***, ** and * implies statistical significance at the 1 %, 5 </w:t>
      </w:r>
      <w:r w:rsidRPr="00284260">
        <w:rPr>
          <w:rFonts w:ascii="Garamond" w:hAnsi="Garamond"/>
          <w:sz w:val="20"/>
          <w:szCs w:val="20"/>
        </w:rPr>
        <w:t xml:space="preserve">%, and 10 %, respectively. </w:t>
      </w:r>
      <w:r w:rsidRPr="00284260">
        <w:rPr>
          <w:rFonts w:ascii="Garamond"/>
          <w:sz w:val="20"/>
          <w:szCs w:val="20"/>
        </w:rPr>
        <w:t>Ѱ</w:t>
      </w:r>
      <w:r w:rsidRPr="00284260">
        <w:rPr>
          <w:rFonts w:ascii="Garamond" w:hAnsi="Garamond"/>
          <w:sz w:val="20"/>
          <w:szCs w:val="20"/>
        </w:rPr>
        <w:t xml:space="preserve"> implies </w:t>
      </w:r>
      <w:r w:rsidRPr="00284260">
        <w:rPr>
          <w:rFonts w:ascii="Garamond" w:hAnsi="Garamond"/>
          <w:i/>
          <w:sz w:val="20"/>
          <w:szCs w:val="20"/>
        </w:rPr>
        <w:t>p</w:t>
      </w:r>
      <w:r w:rsidRPr="00284260">
        <w:rPr>
          <w:rFonts w:ascii="Garamond" w:hAnsi="Garamond"/>
          <w:sz w:val="20"/>
          <w:szCs w:val="20"/>
        </w:rPr>
        <w:t>-values are reported. Standard errors are reported in parentheses ( ).</w:t>
      </w:r>
    </w:p>
    <w:p w:rsidR="004169B6" w:rsidRPr="00217328" w:rsidRDefault="004169B6" w:rsidP="00432C32">
      <w:pPr>
        <w:spacing w:line="360" w:lineRule="auto"/>
        <w:rPr>
          <w:rFonts w:ascii="Garamond" w:hAnsi="Garamond"/>
        </w:rPr>
      </w:pPr>
    </w:p>
    <w:p w:rsidR="0055359F" w:rsidRPr="00217328" w:rsidRDefault="004169B6" w:rsidP="00432C32">
      <w:pPr>
        <w:spacing w:line="360" w:lineRule="auto"/>
        <w:jc w:val="both"/>
        <w:rPr>
          <w:rFonts w:ascii="Garamond" w:hAnsi="Garamond" w:cs="Arial"/>
          <w:b/>
          <w:color w:val="292526"/>
        </w:rPr>
      </w:pPr>
      <w:r w:rsidRPr="00217328">
        <w:rPr>
          <w:rFonts w:ascii="Garamond" w:hAnsi="Garamond" w:cs="Arial"/>
        </w:rPr>
        <w:t>The findings here make sense. Real effective exchange rate is a measure of international competitiveness. Appreciation denotes a rise in domestic prices of inputs relative to countries with unchanged or depreciation in exchange rates. This reduces the chance of such country being chosen by foreign investors. Worse still, volatile real exchange rate inspires uncertainty</w:t>
      </w:r>
      <w:r w:rsidR="00A62A73" w:rsidRPr="00217328">
        <w:rPr>
          <w:rFonts w:ascii="Garamond" w:hAnsi="Garamond" w:cs="Arial"/>
        </w:rPr>
        <w:t xml:space="preserve"> in the</w:t>
      </w:r>
      <w:r w:rsidRPr="00217328">
        <w:rPr>
          <w:rFonts w:ascii="Garamond" w:hAnsi="Garamond" w:cs="Arial"/>
        </w:rPr>
        <w:t xml:space="preserve"> cost of inputs in the host country and thus of profits.</w:t>
      </w:r>
      <w:r w:rsidR="00A62A73" w:rsidRPr="00217328">
        <w:rPr>
          <w:rFonts w:ascii="Garamond" w:hAnsi="Garamond" w:cs="Arial"/>
        </w:rPr>
        <w:t xml:space="preserve"> Given the general risk-averse nature of foreign investors</w:t>
      </w:r>
      <w:r w:rsidR="00822D91" w:rsidRPr="00217328">
        <w:rPr>
          <w:rFonts w:ascii="Garamond" w:hAnsi="Garamond" w:cs="Arial"/>
        </w:rPr>
        <w:t xml:space="preserve"> and irreversibility of capital</w:t>
      </w:r>
      <w:r w:rsidR="00A62A73" w:rsidRPr="00217328">
        <w:rPr>
          <w:rFonts w:ascii="Garamond" w:hAnsi="Garamond" w:cs="Arial"/>
        </w:rPr>
        <w:t xml:space="preserve">, </w:t>
      </w:r>
      <w:r w:rsidR="009A7A49" w:rsidRPr="00217328">
        <w:rPr>
          <w:rFonts w:ascii="Garamond" w:hAnsi="Garamond" w:cs="Arial"/>
        </w:rPr>
        <w:t>this phenomenon retards investment.</w:t>
      </w:r>
      <w:r w:rsidR="003561E1" w:rsidRPr="00217328">
        <w:rPr>
          <w:rFonts w:ascii="Garamond" w:hAnsi="Garamond" w:cs="Arial"/>
        </w:rPr>
        <w:tab/>
      </w:r>
    </w:p>
    <w:p w:rsidR="00634889" w:rsidRDefault="00634889" w:rsidP="00432C32">
      <w:pPr>
        <w:spacing w:line="360" w:lineRule="auto"/>
        <w:jc w:val="both"/>
        <w:rPr>
          <w:rFonts w:ascii="Garamond" w:hAnsi="Garamond" w:cs="Arial"/>
        </w:rPr>
      </w:pPr>
    </w:p>
    <w:p w:rsidR="00070DA1" w:rsidRPr="00217328" w:rsidRDefault="0055359F" w:rsidP="00432C32">
      <w:pPr>
        <w:spacing w:line="360" w:lineRule="auto"/>
        <w:jc w:val="both"/>
        <w:rPr>
          <w:rFonts w:ascii="Garamond" w:hAnsi="Garamond" w:cs="Arial"/>
          <w:b/>
          <w:color w:val="FF0000"/>
        </w:rPr>
      </w:pPr>
      <w:r w:rsidRPr="00217328">
        <w:rPr>
          <w:rFonts w:ascii="Garamond" w:hAnsi="Garamond" w:cs="Arial"/>
        </w:rPr>
        <w:t xml:space="preserve">The findings that exchange rate depreciation induces FDI inflows </w:t>
      </w:r>
      <w:r w:rsidR="00AD6464" w:rsidRPr="00217328">
        <w:rPr>
          <w:rFonts w:ascii="Garamond" w:hAnsi="Garamond" w:cs="Arial"/>
        </w:rPr>
        <w:t>compare</w:t>
      </w:r>
      <w:r w:rsidRPr="00217328">
        <w:rPr>
          <w:rFonts w:ascii="Garamond" w:hAnsi="Garamond" w:cs="Arial"/>
        </w:rPr>
        <w:t xml:space="preserve">s </w:t>
      </w:r>
      <w:r w:rsidR="00AD6464" w:rsidRPr="00217328">
        <w:rPr>
          <w:rFonts w:ascii="Garamond" w:hAnsi="Garamond" w:cs="Arial"/>
        </w:rPr>
        <w:t>favo</w:t>
      </w:r>
      <w:r w:rsidR="000F4319" w:rsidRPr="00217328">
        <w:rPr>
          <w:rFonts w:ascii="Garamond" w:hAnsi="Garamond" w:cs="Arial"/>
        </w:rPr>
        <w:t>u</w:t>
      </w:r>
      <w:r w:rsidR="00AD6464" w:rsidRPr="00217328">
        <w:rPr>
          <w:rFonts w:ascii="Garamond" w:hAnsi="Garamond" w:cs="Arial"/>
        </w:rPr>
        <w:t xml:space="preserve">rably to </w:t>
      </w:r>
      <w:r w:rsidRPr="00217328">
        <w:rPr>
          <w:rFonts w:ascii="Garamond" w:hAnsi="Garamond" w:cs="Arial"/>
        </w:rPr>
        <w:t xml:space="preserve">earlier studies such as </w:t>
      </w:r>
      <w:r w:rsidR="00C33F07" w:rsidRPr="00217328">
        <w:rPr>
          <w:rFonts w:ascii="Garamond" w:hAnsi="Garamond" w:cs="Arial"/>
        </w:rPr>
        <w:t>Kohlhagen (1977</w:t>
      </w:r>
      <w:r w:rsidRPr="00217328">
        <w:rPr>
          <w:rFonts w:ascii="Garamond" w:hAnsi="Garamond" w:cs="Arial"/>
        </w:rPr>
        <w:t>)</w:t>
      </w:r>
      <w:r w:rsidRPr="00217328">
        <w:rPr>
          <w:rFonts w:ascii="Garamond" w:hAnsi="Garamond" w:cs="Arial"/>
          <w:color w:val="FF0000"/>
        </w:rPr>
        <w:t xml:space="preserve"> </w:t>
      </w:r>
      <w:r w:rsidRPr="00217328">
        <w:rPr>
          <w:rFonts w:ascii="Garamond" w:hAnsi="Garamond" w:cs="Arial"/>
        </w:rPr>
        <w:t>and Froot, Stein (1991),</w:t>
      </w:r>
      <w:r w:rsidRPr="00217328">
        <w:rPr>
          <w:rFonts w:ascii="Garamond" w:hAnsi="Garamond" w:cs="Arial"/>
          <w:color w:val="FF0000"/>
        </w:rPr>
        <w:t xml:space="preserve"> </w:t>
      </w:r>
      <w:r w:rsidRPr="00217328">
        <w:rPr>
          <w:rFonts w:ascii="Garamond" w:hAnsi="Garamond" w:cs="Arial"/>
        </w:rPr>
        <w:t xml:space="preserve">Blonigen (1997), Sazanami, </w:t>
      </w:r>
      <w:r w:rsidRPr="00217328">
        <w:rPr>
          <w:rFonts w:ascii="Garamond" w:hAnsi="Garamond" w:cs="Arial"/>
          <w:i/>
        </w:rPr>
        <w:t>et al</w:t>
      </w:r>
      <w:r w:rsidRPr="00217328">
        <w:rPr>
          <w:rFonts w:ascii="Garamond" w:hAnsi="Garamond" w:cs="Arial"/>
        </w:rPr>
        <w:t xml:space="preserve"> (2003),  Kiyota and Urata (2004), and Mwega and Ngugi (2005). </w:t>
      </w:r>
      <w:r w:rsidR="00AD6464" w:rsidRPr="00217328">
        <w:rPr>
          <w:rFonts w:ascii="Garamond" w:hAnsi="Garamond" w:cs="Arial"/>
        </w:rPr>
        <w:t>Similarly, the negati</w:t>
      </w:r>
      <w:r w:rsidR="0061609F" w:rsidRPr="00217328">
        <w:rPr>
          <w:rFonts w:ascii="Garamond" w:hAnsi="Garamond" w:cs="Arial"/>
        </w:rPr>
        <w:t>ve effect</w:t>
      </w:r>
      <w:r w:rsidR="00AD6464" w:rsidRPr="00217328">
        <w:rPr>
          <w:rFonts w:ascii="Garamond" w:hAnsi="Garamond" w:cs="Arial"/>
        </w:rPr>
        <w:t xml:space="preserve"> of exchange rate volatility on FDI established in this study </w:t>
      </w:r>
      <w:r w:rsidR="00891EF0" w:rsidRPr="00217328">
        <w:rPr>
          <w:rFonts w:ascii="Garamond" w:hAnsi="Garamond" w:cs="Arial"/>
        </w:rPr>
        <w:t xml:space="preserve">is in consonance with Bleaney and Greenaway (2001). This study employed </w:t>
      </w:r>
      <w:r w:rsidR="0061609F" w:rsidRPr="00217328">
        <w:rPr>
          <w:rFonts w:ascii="Garamond" w:hAnsi="Garamond" w:cs="Arial"/>
        </w:rPr>
        <w:t xml:space="preserve">panel </w:t>
      </w:r>
      <w:r w:rsidR="00891EF0" w:rsidRPr="00217328">
        <w:rPr>
          <w:rFonts w:ascii="Garamond" w:hAnsi="Garamond" w:cs="Arial"/>
        </w:rPr>
        <w:t xml:space="preserve">data </w:t>
      </w:r>
      <w:r w:rsidR="0061609F" w:rsidRPr="00217328">
        <w:rPr>
          <w:rFonts w:ascii="Garamond" w:hAnsi="Garamond" w:cs="Arial"/>
        </w:rPr>
        <w:t xml:space="preserve">estimation </w:t>
      </w:r>
      <w:r w:rsidR="00891EF0" w:rsidRPr="00217328">
        <w:rPr>
          <w:rFonts w:ascii="Garamond" w:hAnsi="Garamond" w:cs="Arial"/>
        </w:rPr>
        <w:t xml:space="preserve">for a sample of 14 SSA countries </w:t>
      </w:r>
      <w:r w:rsidR="0061609F" w:rsidRPr="00217328">
        <w:rPr>
          <w:rFonts w:ascii="Garamond" w:hAnsi="Garamond" w:cs="Arial"/>
        </w:rPr>
        <w:t>between 1980 and 1995</w:t>
      </w:r>
      <w:r w:rsidR="003536DD" w:rsidRPr="00217328">
        <w:rPr>
          <w:rFonts w:ascii="Garamond" w:hAnsi="Garamond" w:cs="Arial"/>
        </w:rPr>
        <w:t>,</w:t>
      </w:r>
      <w:r w:rsidR="0061609F" w:rsidRPr="00217328">
        <w:rPr>
          <w:rFonts w:ascii="Garamond" w:hAnsi="Garamond" w:cs="Arial"/>
        </w:rPr>
        <w:t xml:space="preserve"> and established a significant negative effect of exchange rate volatility on FDI. </w:t>
      </w:r>
      <w:r w:rsidRPr="00217328">
        <w:rPr>
          <w:rFonts w:ascii="Garamond" w:hAnsi="Garamond" w:cs="Arial"/>
        </w:rPr>
        <w:tab/>
      </w:r>
    </w:p>
    <w:p w:rsidR="003536DD" w:rsidRPr="00217328" w:rsidRDefault="003536DD" w:rsidP="00432C32">
      <w:pPr>
        <w:spacing w:line="360" w:lineRule="auto"/>
        <w:jc w:val="both"/>
        <w:rPr>
          <w:rFonts w:ascii="Garamond" w:hAnsi="Garamond" w:cs="Arial"/>
          <w:b/>
          <w:color w:val="292526"/>
        </w:rPr>
      </w:pPr>
    </w:p>
    <w:p w:rsidR="00445D73" w:rsidRPr="00217328" w:rsidRDefault="00445D73" w:rsidP="00432C32">
      <w:pPr>
        <w:spacing w:line="360" w:lineRule="auto"/>
        <w:jc w:val="both"/>
        <w:rPr>
          <w:rFonts w:ascii="Garamond" w:hAnsi="Garamond" w:cs="Arial"/>
          <w:b/>
          <w:color w:val="292526"/>
        </w:rPr>
      </w:pPr>
      <w:r w:rsidRPr="00217328">
        <w:rPr>
          <w:rFonts w:ascii="Garamond" w:hAnsi="Garamond" w:cs="Arial"/>
          <w:b/>
          <w:color w:val="292526"/>
        </w:rPr>
        <w:t xml:space="preserve">6. </w:t>
      </w:r>
      <w:r w:rsidR="003536DD" w:rsidRPr="00217328">
        <w:rPr>
          <w:rFonts w:ascii="Garamond" w:hAnsi="Garamond" w:cs="Arial"/>
          <w:b/>
          <w:color w:val="292526"/>
        </w:rPr>
        <w:t xml:space="preserve">Lessons for </w:t>
      </w:r>
      <w:r w:rsidRPr="00217328">
        <w:rPr>
          <w:rFonts w:ascii="Garamond" w:hAnsi="Garamond" w:cs="Arial"/>
          <w:b/>
          <w:color w:val="292526"/>
        </w:rPr>
        <w:t>Policy and Conclusion</w:t>
      </w:r>
    </w:p>
    <w:p w:rsidR="00CA2EBE" w:rsidRPr="00217328" w:rsidRDefault="00CA2EBE" w:rsidP="00432C32">
      <w:pPr>
        <w:spacing w:line="360" w:lineRule="auto"/>
        <w:jc w:val="both"/>
        <w:rPr>
          <w:rFonts w:ascii="Garamond" w:hAnsi="Garamond" w:cs="Arial"/>
        </w:rPr>
      </w:pPr>
      <w:r w:rsidRPr="00217328">
        <w:rPr>
          <w:rFonts w:ascii="Garamond" w:hAnsi="Garamond" w:cs="Arial"/>
        </w:rPr>
        <w:t>This study examined the effect of exchange rate volatility on FDI inflows</w:t>
      </w:r>
      <w:r w:rsidR="00CF7A06" w:rsidRPr="00217328">
        <w:rPr>
          <w:rFonts w:ascii="Garamond" w:hAnsi="Garamond" w:cs="Arial"/>
        </w:rPr>
        <w:t xml:space="preserve"> in nine SSA countries. Exchange rate volatility is identified as one of the factors responsible for the low, dwindling and volatile FDI inflows in the region. Given the importance of FDI in the region, this has the potential of further retarding </w:t>
      </w:r>
      <w:r w:rsidRPr="00217328">
        <w:rPr>
          <w:rFonts w:ascii="Garamond" w:hAnsi="Garamond" w:cs="Arial"/>
        </w:rPr>
        <w:t xml:space="preserve">the economic growth and development of the region. </w:t>
      </w:r>
      <w:r w:rsidR="00CF7A06" w:rsidRPr="00217328">
        <w:rPr>
          <w:rFonts w:ascii="Garamond" w:hAnsi="Garamond" w:cs="Arial"/>
        </w:rPr>
        <w:t xml:space="preserve">The “Big Brother” role of South Africa, not just in the SADC region but in the SSA in championing south-south FDI is commendable. This further demonstrates the role of the country as an engine of growth in the region. </w:t>
      </w:r>
      <w:r w:rsidRPr="00217328">
        <w:rPr>
          <w:rFonts w:ascii="Garamond" w:hAnsi="Garamond" w:cs="Arial"/>
        </w:rPr>
        <w:t xml:space="preserve">The instrumental variable estimations reveal that nominal and inflation shocks are the major sources of exchange rate volatility in the region. Thus, these variables </w:t>
      </w:r>
      <w:r w:rsidR="00CF7A06" w:rsidRPr="00217328">
        <w:rPr>
          <w:rFonts w:ascii="Garamond" w:hAnsi="Garamond" w:cs="Arial"/>
        </w:rPr>
        <w:t>should</w:t>
      </w:r>
      <w:r w:rsidRPr="00217328">
        <w:rPr>
          <w:rFonts w:ascii="Garamond" w:hAnsi="Garamond" w:cs="Arial"/>
        </w:rPr>
        <w:t xml:space="preserve"> be well managed to mitigate their negative effect on exchange rate volatility. </w:t>
      </w:r>
      <w:r w:rsidR="003536DD" w:rsidRPr="00217328">
        <w:rPr>
          <w:rFonts w:ascii="Garamond" w:hAnsi="Garamond" w:cs="Arial"/>
        </w:rPr>
        <w:t>This will</w:t>
      </w:r>
      <w:r w:rsidR="00CF7A06" w:rsidRPr="00217328">
        <w:rPr>
          <w:rFonts w:ascii="Garamond" w:hAnsi="Garamond" w:cs="Arial"/>
        </w:rPr>
        <w:t xml:space="preserve"> help </w:t>
      </w:r>
      <w:r w:rsidRPr="00217328">
        <w:rPr>
          <w:rFonts w:ascii="Garamond" w:hAnsi="Garamond" w:cs="Arial"/>
        </w:rPr>
        <w:t>douse the negative effect of exchange rate volatility on FDI inflows</w:t>
      </w:r>
      <w:r w:rsidR="00CF7A06" w:rsidRPr="00217328">
        <w:rPr>
          <w:rFonts w:ascii="Garamond" w:hAnsi="Garamond" w:cs="Arial"/>
        </w:rPr>
        <w:t xml:space="preserve"> in the region with a view to achieving </w:t>
      </w:r>
      <w:r w:rsidRPr="00217328">
        <w:rPr>
          <w:rFonts w:ascii="Garamond" w:hAnsi="Garamond" w:cs="Arial"/>
        </w:rPr>
        <w:t xml:space="preserve">the overall objective of a developed and virile SSA. </w:t>
      </w:r>
    </w:p>
    <w:p w:rsidR="00634889" w:rsidRDefault="00634889" w:rsidP="00432C32">
      <w:pPr>
        <w:spacing w:line="360" w:lineRule="auto"/>
        <w:jc w:val="both"/>
        <w:rPr>
          <w:rFonts w:ascii="Garamond" w:hAnsi="Garamond" w:cs="Arial"/>
        </w:rPr>
      </w:pPr>
    </w:p>
    <w:p w:rsidR="00445D73" w:rsidRPr="00217328" w:rsidRDefault="00445D73" w:rsidP="00432C32">
      <w:pPr>
        <w:spacing w:line="360" w:lineRule="auto"/>
        <w:jc w:val="both"/>
        <w:rPr>
          <w:rFonts w:ascii="Garamond" w:hAnsi="Garamond" w:cs="Arial"/>
        </w:rPr>
      </w:pPr>
      <w:r w:rsidRPr="00217328">
        <w:rPr>
          <w:rFonts w:ascii="Garamond" w:hAnsi="Garamond" w:cs="Arial"/>
        </w:rPr>
        <w:t xml:space="preserve">Several policy lessons can be drawn from the findings of this study. There is need for policy intervention in terms of exchange rate and monetary policies to lessen the damaging effect </w:t>
      </w:r>
      <w:r w:rsidRPr="00217328">
        <w:rPr>
          <w:rFonts w:ascii="Garamond" w:hAnsi="Garamond" w:cs="Arial"/>
        </w:rPr>
        <w:lastRenderedPageBreak/>
        <w:t xml:space="preserve">of exchange rate volatility on FDI inflows. </w:t>
      </w:r>
      <w:r w:rsidR="00205D8E" w:rsidRPr="00217328">
        <w:rPr>
          <w:rFonts w:ascii="Garamond" w:hAnsi="Garamond" w:cs="Arial"/>
        </w:rPr>
        <w:t>The exchange rate volatility models revealed that</w:t>
      </w:r>
      <w:r w:rsidRPr="00217328">
        <w:rPr>
          <w:rFonts w:ascii="Garamond" w:hAnsi="Garamond" w:cs="Arial"/>
        </w:rPr>
        <w:t xml:space="preserve"> nominal and inflation shocks are prominent sources of exchange rate volatility in the region. This implies that shocks originating from these variables exacerbate exchange rate volatility. There is, therefore, need for sound monetary, exchange rate and macroeconomic policies that will help manage shocks emanating from these variables. Only then can their negative effects on exchange rate volatility be mitigated or possibly removed with a view to improving FDI inflows in the region.</w:t>
      </w:r>
    </w:p>
    <w:p w:rsidR="00634889" w:rsidRDefault="00634889" w:rsidP="00432C32">
      <w:pPr>
        <w:spacing w:line="360" w:lineRule="auto"/>
        <w:jc w:val="both"/>
        <w:rPr>
          <w:rFonts w:ascii="Garamond" w:hAnsi="Garamond" w:cs="Arial"/>
        </w:rPr>
      </w:pPr>
    </w:p>
    <w:p w:rsidR="004A7742" w:rsidRDefault="00445D73" w:rsidP="00432C32">
      <w:pPr>
        <w:spacing w:line="360" w:lineRule="auto"/>
        <w:jc w:val="both"/>
        <w:rPr>
          <w:rFonts w:ascii="Garamond" w:hAnsi="Garamond" w:cs="Arial"/>
        </w:rPr>
      </w:pPr>
      <w:r w:rsidRPr="00217328">
        <w:rPr>
          <w:rFonts w:ascii="Garamond" w:hAnsi="Garamond" w:cs="Arial"/>
        </w:rPr>
        <w:t xml:space="preserve">There is also need for policy cohesion and coordination on exchange rate and FDI management. It implies that FDI policies can have very significant effect on the exchange rates. At the same time, exchange rate policies can also stimulate or restrain FDI. Hence, in formulating either policy, the other one must be </w:t>
      </w:r>
      <w:r w:rsidR="00752453" w:rsidRPr="00217328">
        <w:rPr>
          <w:rFonts w:ascii="Garamond" w:hAnsi="Garamond" w:cs="Arial"/>
        </w:rPr>
        <w:t>taken into consideration</w:t>
      </w:r>
      <w:r w:rsidR="00AB15E8" w:rsidRPr="00217328">
        <w:rPr>
          <w:rFonts w:ascii="Garamond" w:hAnsi="Garamond" w:cs="Arial"/>
        </w:rPr>
        <w:t>.</w:t>
      </w:r>
      <w:r w:rsidRPr="00217328">
        <w:rPr>
          <w:rFonts w:ascii="Garamond" w:hAnsi="Garamond" w:cs="Arial"/>
        </w:rPr>
        <w:t xml:space="preserve"> </w:t>
      </w:r>
      <w:r w:rsidR="00AB15E8" w:rsidRPr="00217328">
        <w:rPr>
          <w:rFonts w:ascii="Garamond" w:hAnsi="Garamond" w:cs="Arial"/>
        </w:rPr>
        <w:t>T</w:t>
      </w:r>
      <w:r w:rsidRPr="00217328">
        <w:rPr>
          <w:rFonts w:ascii="Garamond" w:hAnsi="Garamond" w:cs="Arial"/>
        </w:rPr>
        <w:t>his will help improve the policy performance and its ultimate impact on both improving FDI inflows and reducing exchange rate volatility. This calls for joint action and coordination between the different institutions charge</w:t>
      </w:r>
      <w:r w:rsidR="00AB15E8" w:rsidRPr="00217328">
        <w:rPr>
          <w:rFonts w:ascii="Garamond" w:hAnsi="Garamond" w:cs="Arial"/>
        </w:rPr>
        <w:t xml:space="preserve">d with the responsibility </w:t>
      </w:r>
      <w:r w:rsidRPr="00217328">
        <w:rPr>
          <w:rFonts w:ascii="Garamond" w:hAnsi="Garamond" w:cs="Arial"/>
        </w:rPr>
        <w:t xml:space="preserve">of </w:t>
      </w:r>
      <w:r w:rsidR="00AB15E8" w:rsidRPr="00217328">
        <w:rPr>
          <w:rFonts w:ascii="Garamond" w:hAnsi="Garamond" w:cs="Arial"/>
        </w:rPr>
        <w:t xml:space="preserve">formulating </w:t>
      </w:r>
      <w:r w:rsidRPr="00217328">
        <w:rPr>
          <w:rFonts w:ascii="Garamond" w:hAnsi="Garamond" w:cs="Arial"/>
        </w:rPr>
        <w:t xml:space="preserve">both policies. </w:t>
      </w:r>
    </w:p>
    <w:p w:rsidR="00AC6F2B" w:rsidRDefault="00AC6F2B" w:rsidP="00432C32">
      <w:pPr>
        <w:spacing w:line="360" w:lineRule="auto"/>
        <w:jc w:val="both"/>
        <w:rPr>
          <w:rFonts w:ascii="Garamond" w:hAnsi="Garamond" w:cs="Arial"/>
        </w:rPr>
      </w:pPr>
    </w:p>
    <w:p w:rsidR="00AC6F2B" w:rsidRPr="00217328" w:rsidRDefault="00AC6F2B" w:rsidP="00AC6F2B">
      <w:pPr>
        <w:spacing w:line="360" w:lineRule="auto"/>
        <w:jc w:val="both"/>
        <w:rPr>
          <w:rFonts w:ascii="Garamond" w:hAnsi="Garamond"/>
          <w:b/>
        </w:rPr>
      </w:pPr>
      <w:r w:rsidRPr="00217328">
        <w:rPr>
          <w:rFonts w:ascii="Garamond" w:hAnsi="Garamond"/>
          <w:b/>
        </w:rPr>
        <w:t>REFERENCES</w:t>
      </w:r>
    </w:p>
    <w:p w:rsidR="00AC6F2B" w:rsidRPr="00217328" w:rsidRDefault="00AC6F2B" w:rsidP="00AC6F2B">
      <w:pPr>
        <w:spacing w:line="360" w:lineRule="auto"/>
        <w:jc w:val="both"/>
        <w:rPr>
          <w:rFonts w:ascii="Garamond" w:hAnsi="Garamond"/>
          <w:b/>
          <w:color w:val="FF0000"/>
        </w:rPr>
      </w:pP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 xml:space="preserve">African Development Bank. </w:t>
      </w:r>
      <w:r>
        <w:rPr>
          <w:rFonts w:ascii="Garamond" w:hAnsi="Garamond"/>
        </w:rPr>
        <w:t>(</w:t>
      </w:r>
      <w:r w:rsidRPr="00217328">
        <w:rPr>
          <w:rFonts w:ascii="Garamond" w:hAnsi="Garamond"/>
        </w:rPr>
        <w:t>2003</w:t>
      </w:r>
      <w:r>
        <w:rPr>
          <w:rFonts w:ascii="Garamond" w:hAnsi="Garamond"/>
        </w:rPr>
        <w:t>):</w:t>
      </w:r>
      <w:r w:rsidRPr="00217328">
        <w:rPr>
          <w:rFonts w:ascii="Garamond" w:hAnsi="Garamond"/>
        </w:rPr>
        <w:t xml:space="preserve"> African Development Report</w:t>
      </w:r>
      <w:r>
        <w:rPr>
          <w:rFonts w:ascii="Garamond" w:hAnsi="Garamond"/>
        </w:rPr>
        <w:t>:</w:t>
      </w:r>
      <w:r w:rsidRPr="00217328">
        <w:rPr>
          <w:rFonts w:ascii="Garamond" w:hAnsi="Garamond"/>
        </w:rPr>
        <w:t xml:space="preserve"> </w:t>
      </w:r>
      <w:r>
        <w:rPr>
          <w:rFonts w:ascii="Garamond" w:hAnsi="Garamond" w:cs="TimesNewRomanPS"/>
        </w:rPr>
        <w:t xml:space="preserve">Oxford University Press, </w:t>
      </w:r>
      <w:r w:rsidR="002058EC">
        <w:rPr>
          <w:rFonts w:ascii="Garamond" w:hAnsi="Garamond" w:cs="TimesNewRomanPS"/>
        </w:rPr>
        <w:tab/>
      </w:r>
      <w:r w:rsidRPr="00217328">
        <w:rPr>
          <w:rFonts w:ascii="Garamond" w:hAnsi="Garamond" w:cs="TimesNewRomanPS"/>
        </w:rPr>
        <w:t>Oxford.</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 xml:space="preserve">Aizenman, J. </w:t>
      </w:r>
      <w:r>
        <w:rPr>
          <w:rFonts w:ascii="Garamond" w:hAnsi="Garamond"/>
        </w:rPr>
        <w:t>(</w:t>
      </w:r>
      <w:r w:rsidRPr="00217328">
        <w:rPr>
          <w:rFonts w:ascii="Garamond" w:hAnsi="Garamond"/>
        </w:rPr>
        <w:t>1992</w:t>
      </w:r>
      <w:r>
        <w:rPr>
          <w:rFonts w:ascii="Garamond" w:hAnsi="Garamond"/>
        </w:rPr>
        <w:t>): “Exchange Rate Flexibility, Volatility, and D</w:t>
      </w:r>
      <w:r w:rsidRPr="00217328">
        <w:rPr>
          <w:rFonts w:ascii="Garamond" w:hAnsi="Garamond"/>
        </w:rPr>
        <w:t>o</w:t>
      </w:r>
      <w:r>
        <w:rPr>
          <w:rFonts w:ascii="Garamond" w:hAnsi="Garamond"/>
        </w:rPr>
        <w:t xml:space="preserve">mestic and Foreign Direct </w:t>
      </w:r>
      <w:r w:rsidR="002058EC">
        <w:rPr>
          <w:rFonts w:ascii="Garamond" w:hAnsi="Garamond"/>
        </w:rPr>
        <w:tab/>
      </w:r>
      <w:r>
        <w:rPr>
          <w:rFonts w:ascii="Garamond" w:hAnsi="Garamond"/>
        </w:rPr>
        <w:t>Investment</w:t>
      </w:r>
      <w:r w:rsidRPr="00217328">
        <w:rPr>
          <w:rFonts w:ascii="Garamond" w:hAnsi="Garamond"/>
        </w:rPr>
        <w:t>”</w:t>
      </w:r>
      <w:r>
        <w:rPr>
          <w:rFonts w:ascii="Garamond" w:hAnsi="Garamond"/>
        </w:rPr>
        <w:t xml:space="preserve">,  IMF Staff Papers, </w:t>
      </w:r>
      <w:r w:rsidRPr="00217328">
        <w:rPr>
          <w:rFonts w:ascii="Garamond" w:hAnsi="Garamond"/>
        </w:rPr>
        <w:t>39</w:t>
      </w:r>
      <w:r>
        <w:rPr>
          <w:rFonts w:ascii="Garamond" w:hAnsi="Garamond"/>
        </w:rPr>
        <w:t>(</w:t>
      </w:r>
      <w:r w:rsidRPr="00217328">
        <w:rPr>
          <w:rFonts w:ascii="Garamond" w:hAnsi="Garamond"/>
        </w:rPr>
        <w:t>l4</w:t>
      </w:r>
      <w:r>
        <w:rPr>
          <w:rFonts w:ascii="Garamond" w:hAnsi="Garamond"/>
        </w:rPr>
        <w:t>)</w:t>
      </w:r>
      <w:r w:rsidRPr="00217328">
        <w:rPr>
          <w:rFonts w:ascii="Garamond" w:hAnsi="Garamond"/>
        </w:rPr>
        <w:t>, pp. 890-992.</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 xml:space="preserve">Alaba, O. </w:t>
      </w:r>
      <w:r>
        <w:rPr>
          <w:rFonts w:ascii="Garamond" w:hAnsi="Garamond"/>
        </w:rPr>
        <w:t>(</w:t>
      </w:r>
      <w:r w:rsidRPr="00217328">
        <w:rPr>
          <w:rFonts w:ascii="Garamond" w:hAnsi="Garamond"/>
        </w:rPr>
        <w:t>2003</w:t>
      </w:r>
      <w:r>
        <w:rPr>
          <w:rFonts w:ascii="Garamond" w:hAnsi="Garamond"/>
        </w:rPr>
        <w:t>): “Exchange Rate Uncertainty and Foreign Direct I</w:t>
      </w:r>
      <w:r w:rsidRPr="00217328">
        <w:rPr>
          <w:rFonts w:ascii="Garamond" w:hAnsi="Garamond"/>
        </w:rPr>
        <w:t>nvestment in Nigeria”</w:t>
      </w:r>
      <w:r>
        <w:rPr>
          <w:rFonts w:ascii="Garamond" w:hAnsi="Garamond"/>
        </w:rPr>
        <w:t xml:space="preserve">, A </w:t>
      </w:r>
      <w:r w:rsidR="002058EC">
        <w:rPr>
          <w:rFonts w:ascii="Garamond" w:hAnsi="Garamond"/>
        </w:rPr>
        <w:tab/>
      </w:r>
      <w:r w:rsidRPr="00217328">
        <w:rPr>
          <w:rFonts w:ascii="Garamond" w:hAnsi="Garamond"/>
        </w:rPr>
        <w:t xml:space="preserve">Paper Presented at the </w:t>
      </w:r>
      <w:r w:rsidRPr="00217328">
        <w:rPr>
          <w:rFonts w:ascii="Garamond" w:hAnsi="Garamond"/>
        </w:rPr>
        <w:tab/>
        <w:t>WIDER Conference on Sharin</w:t>
      </w:r>
      <w:r>
        <w:rPr>
          <w:rFonts w:ascii="Garamond" w:hAnsi="Garamond"/>
        </w:rPr>
        <w:t xml:space="preserve">g Global Prosperity, Helsinki, </w:t>
      </w:r>
      <w:r w:rsidR="002058EC">
        <w:rPr>
          <w:rFonts w:ascii="Garamond" w:hAnsi="Garamond"/>
        </w:rPr>
        <w:tab/>
      </w:r>
      <w:r w:rsidRPr="00217328">
        <w:rPr>
          <w:rFonts w:ascii="Garamond" w:hAnsi="Garamond"/>
        </w:rPr>
        <w:t>Finland, 6-7, September.</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Amuedo-Dorantes, C</w:t>
      </w:r>
      <w:r>
        <w:rPr>
          <w:rFonts w:ascii="Garamond" w:hAnsi="Garamond"/>
        </w:rPr>
        <w:t xml:space="preserve">. and </w:t>
      </w:r>
      <w:r w:rsidRPr="00217328">
        <w:rPr>
          <w:rFonts w:ascii="Garamond" w:hAnsi="Garamond"/>
        </w:rPr>
        <w:t>Pozo</w:t>
      </w:r>
      <w:r>
        <w:rPr>
          <w:rFonts w:ascii="Garamond" w:hAnsi="Garamond"/>
        </w:rPr>
        <w:t>, S</w:t>
      </w:r>
      <w:r w:rsidRPr="00217328">
        <w:rPr>
          <w:rFonts w:ascii="Garamond" w:hAnsi="Garamond"/>
        </w:rPr>
        <w:t xml:space="preserve">. </w:t>
      </w:r>
      <w:r>
        <w:rPr>
          <w:rFonts w:ascii="Garamond" w:hAnsi="Garamond"/>
        </w:rPr>
        <w:t>(</w:t>
      </w:r>
      <w:r w:rsidRPr="00217328">
        <w:rPr>
          <w:rFonts w:ascii="Garamond" w:hAnsi="Garamond"/>
        </w:rPr>
        <w:t>2001</w:t>
      </w:r>
      <w:r>
        <w:rPr>
          <w:rFonts w:ascii="Garamond" w:hAnsi="Garamond"/>
        </w:rPr>
        <w:t xml:space="preserve">): “Foreign Exchange Rates and Foreign Direct </w:t>
      </w:r>
      <w:r w:rsidR="002058EC">
        <w:rPr>
          <w:rFonts w:ascii="Garamond" w:hAnsi="Garamond"/>
        </w:rPr>
        <w:tab/>
      </w:r>
      <w:r>
        <w:rPr>
          <w:rFonts w:ascii="Garamond" w:hAnsi="Garamond"/>
        </w:rPr>
        <w:t>I</w:t>
      </w:r>
      <w:r w:rsidRPr="00217328">
        <w:rPr>
          <w:rFonts w:ascii="Garamond" w:hAnsi="Garamond"/>
        </w:rPr>
        <w:t>nvestment in the United States</w:t>
      </w:r>
      <w:r w:rsidRPr="006D159E">
        <w:rPr>
          <w:rFonts w:ascii="Garamond" w:hAnsi="Garamond"/>
        </w:rPr>
        <w:t>”, International Trade Journal,</w:t>
      </w:r>
      <w:r w:rsidRPr="00217328">
        <w:rPr>
          <w:rFonts w:ascii="Garamond" w:hAnsi="Garamond"/>
          <w:i/>
        </w:rPr>
        <w:t xml:space="preserve"> </w:t>
      </w:r>
      <w:r>
        <w:rPr>
          <w:rFonts w:ascii="Garamond" w:hAnsi="Garamond"/>
        </w:rPr>
        <w:t xml:space="preserve">15(3), pp. </w:t>
      </w:r>
      <w:r w:rsidRPr="00217328">
        <w:rPr>
          <w:rFonts w:ascii="Garamond" w:hAnsi="Garamond"/>
        </w:rPr>
        <w:t>323-343.</w:t>
      </w:r>
    </w:p>
    <w:p w:rsidR="00AC6F2B" w:rsidRPr="00217328" w:rsidRDefault="00AC6F2B" w:rsidP="00AC6F2B">
      <w:pPr>
        <w:pStyle w:val="BodyTextIndent"/>
        <w:spacing w:after="0" w:line="360" w:lineRule="auto"/>
        <w:ind w:left="0"/>
        <w:rPr>
          <w:rFonts w:ascii="Garamond" w:hAnsi="Garamond"/>
        </w:rPr>
      </w:pPr>
      <w:r w:rsidRPr="00217328">
        <w:rPr>
          <w:rFonts w:ascii="Garamond" w:hAnsi="Garamond"/>
        </w:rPr>
        <w:t xml:space="preserve">Asiedu, E. </w:t>
      </w:r>
      <w:r>
        <w:rPr>
          <w:rFonts w:ascii="Garamond" w:hAnsi="Garamond"/>
        </w:rPr>
        <w:t>(</w:t>
      </w:r>
      <w:r w:rsidRPr="00217328">
        <w:rPr>
          <w:rFonts w:ascii="Garamond" w:hAnsi="Garamond"/>
        </w:rPr>
        <w:t>2002</w:t>
      </w:r>
      <w:r>
        <w:rPr>
          <w:rFonts w:ascii="Garamond" w:hAnsi="Garamond"/>
        </w:rPr>
        <w:t>): “On the Determinant of Foreign D</w:t>
      </w:r>
      <w:r w:rsidRPr="00217328">
        <w:rPr>
          <w:rFonts w:ascii="Garamond" w:hAnsi="Garamond"/>
        </w:rPr>
        <w:t>i</w:t>
      </w:r>
      <w:r>
        <w:rPr>
          <w:rFonts w:ascii="Garamond" w:hAnsi="Garamond"/>
        </w:rPr>
        <w:t xml:space="preserve">rect Investment to Developing </w:t>
      </w:r>
      <w:r w:rsidR="002058EC">
        <w:rPr>
          <w:rFonts w:ascii="Garamond" w:hAnsi="Garamond"/>
        </w:rPr>
        <w:tab/>
      </w:r>
      <w:r>
        <w:rPr>
          <w:rFonts w:ascii="Garamond" w:hAnsi="Garamond"/>
        </w:rPr>
        <w:t>Countries: Is Africa D</w:t>
      </w:r>
      <w:r w:rsidRPr="00217328">
        <w:rPr>
          <w:rFonts w:ascii="Garamond" w:hAnsi="Garamond"/>
        </w:rPr>
        <w:t xml:space="preserve">ifferent?” </w:t>
      </w:r>
      <w:r w:rsidRPr="006D159E">
        <w:rPr>
          <w:rFonts w:ascii="Garamond" w:hAnsi="Garamond"/>
        </w:rPr>
        <w:t>World Development</w:t>
      </w:r>
      <w:r>
        <w:rPr>
          <w:rFonts w:ascii="Garamond" w:hAnsi="Garamond"/>
        </w:rPr>
        <w:t>,</w:t>
      </w:r>
      <w:r w:rsidRPr="00217328">
        <w:rPr>
          <w:rFonts w:ascii="Garamond" w:hAnsi="Garamond"/>
        </w:rPr>
        <w:t xml:space="preserve"> 30</w:t>
      </w:r>
      <w:r>
        <w:rPr>
          <w:rFonts w:ascii="Garamond" w:hAnsi="Garamond"/>
        </w:rPr>
        <w:t>(</w:t>
      </w:r>
      <w:r w:rsidRPr="00217328">
        <w:rPr>
          <w:rFonts w:ascii="Garamond" w:hAnsi="Garamond"/>
        </w:rPr>
        <w:t>1</w:t>
      </w:r>
      <w:r>
        <w:rPr>
          <w:rFonts w:ascii="Garamond" w:hAnsi="Garamond"/>
        </w:rPr>
        <w:t>)</w:t>
      </w:r>
      <w:r w:rsidRPr="00217328">
        <w:rPr>
          <w:rFonts w:ascii="Garamond" w:hAnsi="Garamond"/>
        </w:rPr>
        <w:t xml:space="preserve">, pp. </w:t>
      </w:r>
      <w:r w:rsidRPr="00DE272D">
        <w:rPr>
          <w:rFonts w:ascii="Garamond" w:hAnsi="Garamond" w:cs="TimesNewRoman"/>
          <w:lang w:val="en-US"/>
        </w:rPr>
        <w:t>107-119</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Bailey, M. J. and Tavlas</w:t>
      </w:r>
      <w:r>
        <w:rPr>
          <w:rFonts w:ascii="Garamond" w:hAnsi="Garamond"/>
        </w:rPr>
        <w:t>,</w:t>
      </w:r>
      <w:r w:rsidRPr="00217328">
        <w:rPr>
          <w:rFonts w:ascii="Garamond" w:hAnsi="Garamond"/>
        </w:rPr>
        <w:t xml:space="preserve"> G. S. </w:t>
      </w:r>
      <w:r>
        <w:rPr>
          <w:rFonts w:ascii="Garamond" w:hAnsi="Garamond"/>
        </w:rPr>
        <w:t>(</w:t>
      </w:r>
      <w:r w:rsidRPr="00217328">
        <w:rPr>
          <w:rFonts w:ascii="Garamond" w:hAnsi="Garamond"/>
        </w:rPr>
        <w:t>1991</w:t>
      </w:r>
      <w:r>
        <w:rPr>
          <w:rFonts w:ascii="Garamond" w:hAnsi="Garamond"/>
        </w:rPr>
        <w:t>): “Exchange Rate Variability and Direct I</w:t>
      </w:r>
      <w:r w:rsidRPr="00217328">
        <w:rPr>
          <w:rFonts w:ascii="Garamond" w:hAnsi="Garamond"/>
        </w:rPr>
        <w:t>nvestment”.</w:t>
      </w:r>
      <w:r>
        <w:rPr>
          <w:rFonts w:ascii="Garamond" w:hAnsi="Garamond"/>
        </w:rPr>
        <w:t xml:space="preserve"> </w:t>
      </w:r>
      <w:r w:rsidR="002058EC">
        <w:rPr>
          <w:rFonts w:ascii="Garamond" w:hAnsi="Garamond"/>
        </w:rPr>
        <w:tab/>
      </w:r>
      <w:r w:rsidRPr="00DE272D">
        <w:rPr>
          <w:rFonts w:ascii="Garamond" w:hAnsi="Garamond"/>
          <w:iCs/>
        </w:rPr>
        <w:t>The Annals, AAPSS</w:t>
      </w:r>
      <w:r>
        <w:rPr>
          <w:rFonts w:ascii="Garamond" w:hAnsi="Garamond"/>
          <w:iCs/>
        </w:rPr>
        <w:t>,</w:t>
      </w:r>
      <w:r w:rsidRPr="00217328">
        <w:rPr>
          <w:rFonts w:ascii="Garamond" w:hAnsi="Garamond"/>
          <w:i/>
          <w:iCs/>
        </w:rPr>
        <w:t xml:space="preserve"> </w:t>
      </w:r>
      <w:r w:rsidRPr="00217328">
        <w:rPr>
          <w:rFonts w:ascii="Garamond" w:hAnsi="Garamond"/>
        </w:rPr>
        <w:t>516, pp.106-16.</w:t>
      </w:r>
    </w:p>
    <w:p w:rsidR="00AC6F2B" w:rsidRPr="00217328" w:rsidRDefault="00AC6F2B" w:rsidP="00AC6F2B">
      <w:pPr>
        <w:autoSpaceDE w:val="0"/>
        <w:autoSpaceDN w:val="0"/>
        <w:adjustRightInd w:val="0"/>
        <w:spacing w:line="360" w:lineRule="auto"/>
        <w:rPr>
          <w:rFonts w:ascii="Garamond" w:eastAsia="Times New Roman" w:hAnsi="Garamond" w:cs="TimesNewRoman"/>
        </w:rPr>
      </w:pPr>
      <w:r w:rsidRPr="00217328">
        <w:rPr>
          <w:rFonts w:ascii="Garamond" w:eastAsia="Times New Roman" w:hAnsi="Garamond" w:cs="TimesNewRoman"/>
        </w:rPr>
        <w:lastRenderedPageBreak/>
        <w:t xml:space="preserve">Bhattacharaya, A, Montiel </w:t>
      </w:r>
      <w:r>
        <w:rPr>
          <w:rFonts w:ascii="Garamond" w:eastAsia="Times New Roman" w:hAnsi="Garamond" w:cs="TimesNewRoman"/>
        </w:rPr>
        <w:t xml:space="preserve">, </w:t>
      </w:r>
      <w:r w:rsidRPr="00217328">
        <w:rPr>
          <w:rFonts w:ascii="Garamond" w:eastAsia="Times New Roman" w:hAnsi="Garamond" w:cs="TimesNewRoman"/>
        </w:rPr>
        <w:t>P</w:t>
      </w:r>
      <w:r>
        <w:rPr>
          <w:rFonts w:ascii="Garamond" w:eastAsia="Times New Roman" w:hAnsi="Garamond" w:cs="TimesNewRoman"/>
        </w:rPr>
        <w:t>.</w:t>
      </w:r>
      <w:r w:rsidRPr="00217328">
        <w:rPr>
          <w:rFonts w:ascii="Garamond" w:eastAsia="Times New Roman" w:hAnsi="Garamond" w:cs="TimesNewRoman"/>
        </w:rPr>
        <w:t xml:space="preserve"> and Sharma</w:t>
      </w:r>
      <w:r>
        <w:rPr>
          <w:rFonts w:ascii="Garamond" w:eastAsia="Times New Roman" w:hAnsi="Garamond" w:cs="TimesNewRoman"/>
        </w:rPr>
        <w:t>,</w:t>
      </w:r>
      <w:r w:rsidRPr="00217328">
        <w:rPr>
          <w:rFonts w:ascii="Garamond" w:eastAsia="Times New Roman" w:hAnsi="Garamond" w:cs="TimesNewRoman"/>
        </w:rPr>
        <w:t xml:space="preserve"> S. </w:t>
      </w:r>
      <w:r>
        <w:rPr>
          <w:rFonts w:ascii="Garamond" w:eastAsia="Times New Roman" w:hAnsi="Garamond" w:cs="TimesNewRoman"/>
        </w:rPr>
        <w:t>(</w:t>
      </w:r>
      <w:r w:rsidRPr="00217328">
        <w:rPr>
          <w:rFonts w:ascii="Garamond" w:eastAsia="Times New Roman" w:hAnsi="Garamond" w:cs="TimesNewRoman"/>
        </w:rPr>
        <w:t>1996</w:t>
      </w:r>
      <w:r>
        <w:rPr>
          <w:rFonts w:ascii="Garamond" w:eastAsia="Times New Roman" w:hAnsi="Garamond" w:cs="TimesNewRoman"/>
        </w:rPr>
        <w:t>):</w:t>
      </w:r>
      <w:r w:rsidRPr="00217328">
        <w:rPr>
          <w:rFonts w:ascii="Garamond" w:eastAsia="Times New Roman" w:hAnsi="Garamond" w:cs="TimesNewRoman"/>
        </w:rPr>
        <w:t xml:space="preserve"> </w:t>
      </w:r>
      <w:r>
        <w:rPr>
          <w:rFonts w:ascii="Garamond" w:eastAsia="Times New Roman" w:hAnsi="Garamond" w:cs="TimesNewRoman"/>
        </w:rPr>
        <w:t xml:space="preserve">“Private Capital Flows to Sub-Saharan </w:t>
      </w:r>
      <w:r w:rsidR="002058EC">
        <w:rPr>
          <w:rFonts w:ascii="Garamond" w:eastAsia="Times New Roman" w:hAnsi="Garamond" w:cs="TimesNewRoman"/>
        </w:rPr>
        <w:tab/>
      </w:r>
      <w:r>
        <w:rPr>
          <w:rFonts w:ascii="Garamond" w:eastAsia="Times New Roman" w:hAnsi="Garamond" w:cs="TimesNewRoman"/>
        </w:rPr>
        <w:t>Africa: A</w:t>
      </w:r>
      <w:r w:rsidRPr="00217328">
        <w:rPr>
          <w:rFonts w:ascii="Garamond" w:eastAsia="Times New Roman" w:hAnsi="Garamond" w:cs="TimesNewRoman"/>
        </w:rPr>
        <w:t xml:space="preserve">n </w:t>
      </w:r>
      <w:r>
        <w:rPr>
          <w:rFonts w:ascii="Garamond" w:eastAsia="Times New Roman" w:hAnsi="Garamond" w:cs="TimesNewRoman"/>
        </w:rPr>
        <w:t>Overview of Trends and D</w:t>
      </w:r>
      <w:r w:rsidRPr="00217328">
        <w:rPr>
          <w:rFonts w:ascii="Garamond" w:eastAsia="Times New Roman" w:hAnsi="Garamond" w:cs="TimesNewRoman"/>
        </w:rPr>
        <w:t>eterminants</w:t>
      </w:r>
      <w:r>
        <w:rPr>
          <w:rFonts w:ascii="Garamond" w:eastAsia="Times New Roman" w:hAnsi="Garamond" w:cs="TimesNewRoman"/>
        </w:rPr>
        <w:t>”</w:t>
      </w:r>
      <w:r w:rsidRPr="00217328">
        <w:rPr>
          <w:rFonts w:ascii="Garamond" w:eastAsia="Times New Roman" w:hAnsi="Garamond" w:cs="TimesNewRoman"/>
        </w:rPr>
        <w:t xml:space="preserve">, Mimeo, Research department, </w:t>
      </w:r>
      <w:r w:rsidRPr="00217328">
        <w:rPr>
          <w:rFonts w:ascii="Garamond" w:eastAsia="Times New Roman" w:hAnsi="Garamond" w:cs="TimesNewRoman"/>
        </w:rPr>
        <w:tab/>
        <w:t xml:space="preserve">IMF.  </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Bénassy-Quéré, A., Fontagné</w:t>
      </w:r>
      <w:r>
        <w:rPr>
          <w:rFonts w:ascii="Garamond" w:hAnsi="Garamond"/>
        </w:rPr>
        <w:t>,</w:t>
      </w:r>
      <w:r w:rsidRPr="00217328">
        <w:rPr>
          <w:rFonts w:ascii="Garamond" w:hAnsi="Garamond"/>
        </w:rPr>
        <w:t xml:space="preserve"> L. and Lahréche-Revil</w:t>
      </w:r>
      <w:r>
        <w:rPr>
          <w:rFonts w:ascii="Garamond" w:hAnsi="Garamond"/>
        </w:rPr>
        <w:t>, A</w:t>
      </w:r>
      <w:r w:rsidRPr="00217328">
        <w:rPr>
          <w:rFonts w:ascii="Garamond" w:hAnsi="Garamond"/>
        </w:rPr>
        <w:t>.</w:t>
      </w:r>
      <w:r>
        <w:rPr>
          <w:rFonts w:ascii="Garamond" w:hAnsi="Garamond"/>
        </w:rPr>
        <w:t xml:space="preserve"> (</w:t>
      </w:r>
      <w:r w:rsidRPr="00217328">
        <w:rPr>
          <w:rFonts w:ascii="Garamond" w:hAnsi="Garamond"/>
        </w:rPr>
        <w:t>2001</w:t>
      </w:r>
      <w:r>
        <w:rPr>
          <w:rFonts w:ascii="Garamond" w:hAnsi="Garamond"/>
        </w:rPr>
        <w:t xml:space="preserve">): “Exchange-Rate Strategies </w:t>
      </w:r>
      <w:r w:rsidR="002058EC">
        <w:rPr>
          <w:rFonts w:ascii="Garamond" w:hAnsi="Garamond"/>
        </w:rPr>
        <w:tab/>
      </w:r>
      <w:r>
        <w:rPr>
          <w:rFonts w:ascii="Garamond" w:hAnsi="Garamond"/>
        </w:rPr>
        <w:t>in the Competition for A</w:t>
      </w:r>
      <w:r w:rsidRPr="00217328">
        <w:rPr>
          <w:rFonts w:ascii="Garamond" w:hAnsi="Garamond"/>
        </w:rPr>
        <w:t>ttract</w:t>
      </w:r>
      <w:r>
        <w:rPr>
          <w:rFonts w:ascii="Garamond" w:hAnsi="Garamond"/>
        </w:rPr>
        <w:t>ing Foreign Direct I</w:t>
      </w:r>
      <w:r w:rsidRPr="00217328">
        <w:rPr>
          <w:rFonts w:ascii="Garamond" w:hAnsi="Garamond"/>
        </w:rPr>
        <w:t>nvestment”</w:t>
      </w:r>
      <w:r>
        <w:rPr>
          <w:rFonts w:ascii="Garamond" w:hAnsi="Garamond"/>
        </w:rPr>
        <w:t>,</w:t>
      </w:r>
      <w:r w:rsidRPr="00217328">
        <w:rPr>
          <w:rFonts w:ascii="Garamond" w:hAnsi="Garamond"/>
        </w:rPr>
        <w:t xml:space="preserve"> </w:t>
      </w:r>
      <w:r w:rsidRPr="00DE272D">
        <w:rPr>
          <w:rFonts w:ascii="Garamond" w:hAnsi="Garamond"/>
          <w:iCs/>
        </w:rPr>
        <w:t xml:space="preserve">Journal of the </w:t>
      </w:r>
      <w:r w:rsidR="002058EC">
        <w:rPr>
          <w:rFonts w:ascii="Garamond" w:hAnsi="Garamond"/>
          <w:iCs/>
        </w:rPr>
        <w:tab/>
      </w:r>
      <w:r w:rsidRPr="00DE272D">
        <w:rPr>
          <w:rFonts w:ascii="Garamond" w:hAnsi="Garamond"/>
          <w:iCs/>
        </w:rPr>
        <w:t>Japanese</w:t>
      </w:r>
      <w:r w:rsidRPr="00DE272D">
        <w:rPr>
          <w:rFonts w:ascii="Garamond" w:hAnsi="Garamond"/>
        </w:rPr>
        <w:t xml:space="preserve"> </w:t>
      </w:r>
      <w:r>
        <w:rPr>
          <w:rFonts w:ascii="Garamond" w:hAnsi="Garamond"/>
          <w:iCs/>
        </w:rPr>
        <w:t xml:space="preserve">and </w:t>
      </w:r>
      <w:r w:rsidRPr="00DE272D">
        <w:rPr>
          <w:rFonts w:ascii="Garamond" w:hAnsi="Garamond"/>
          <w:iCs/>
        </w:rPr>
        <w:t>international Economies</w:t>
      </w:r>
      <w:r w:rsidRPr="00DE272D">
        <w:rPr>
          <w:rFonts w:ascii="Garamond" w:hAnsi="Garamond"/>
        </w:rPr>
        <w:t>,</w:t>
      </w:r>
      <w:r w:rsidRPr="00217328">
        <w:rPr>
          <w:rFonts w:ascii="Garamond" w:hAnsi="Garamond"/>
        </w:rPr>
        <w:t xml:space="preserve"> 15</w:t>
      </w:r>
      <w:r>
        <w:rPr>
          <w:rFonts w:ascii="Garamond" w:hAnsi="Garamond"/>
        </w:rPr>
        <w:t>(</w:t>
      </w:r>
      <w:r w:rsidRPr="00217328">
        <w:rPr>
          <w:rFonts w:ascii="Garamond" w:hAnsi="Garamond"/>
        </w:rPr>
        <w:t>2</w:t>
      </w:r>
      <w:r>
        <w:rPr>
          <w:rFonts w:ascii="Garamond" w:hAnsi="Garamond"/>
        </w:rPr>
        <w:t>)</w:t>
      </w:r>
      <w:r w:rsidRPr="00217328">
        <w:rPr>
          <w:rFonts w:ascii="Garamond" w:hAnsi="Garamond"/>
        </w:rPr>
        <w:t>, pp.178-198.</w:t>
      </w:r>
    </w:p>
    <w:p w:rsidR="00AC6F2B" w:rsidRPr="00217328" w:rsidRDefault="00AC6F2B" w:rsidP="00AC6F2B">
      <w:pPr>
        <w:spacing w:line="360" w:lineRule="auto"/>
        <w:rPr>
          <w:rFonts w:ascii="Garamond" w:hAnsi="Garamond"/>
        </w:rPr>
      </w:pPr>
      <w:r>
        <w:rPr>
          <w:rFonts w:ascii="Garamond" w:hAnsi="Garamond"/>
        </w:rPr>
        <w:t>Bleaney, M.</w:t>
      </w:r>
      <w:r w:rsidRPr="00217328">
        <w:rPr>
          <w:rFonts w:ascii="Garamond" w:hAnsi="Garamond"/>
        </w:rPr>
        <w:t xml:space="preserve"> and Greenway</w:t>
      </w:r>
      <w:r>
        <w:rPr>
          <w:rFonts w:ascii="Garamond" w:hAnsi="Garamond"/>
        </w:rPr>
        <w:t>,</w:t>
      </w:r>
      <w:r w:rsidRPr="00217328">
        <w:rPr>
          <w:rFonts w:ascii="Garamond" w:hAnsi="Garamond"/>
        </w:rPr>
        <w:t xml:space="preserve"> </w:t>
      </w:r>
      <w:r>
        <w:rPr>
          <w:rFonts w:ascii="Garamond" w:hAnsi="Garamond"/>
        </w:rPr>
        <w:t>D</w:t>
      </w:r>
      <w:r w:rsidRPr="00217328">
        <w:rPr>
          <w:rFonts w:ascii="Garamond" w:hAnsi="Garamond"/>
        </w:rPr>
        <w:t xml:space="preserve">. </w:t>
      </w:r>
      <w:r>
        <w:rPr>
          <w:rFonts w:ascii="Garamond" w:hAnsi="Garamond"/>
        </w:rPr>
        <w:t>(</w:t>
      </w:r>
      <w:r w:rsidRPr="00217328">
        <w:rPr>
          <w:rFonts w:ascii="Garamond" w:hAnsi="Garamond"/>
        </w:rPr>
        <w:t>2001</w:t>
      </w:r>
      <w:r>
        <w:rPr>
          <w:rFonts w:ascii="Garamond" w:hAnsi="Garamond"/>
        </w:rPr>
        <w:t xml:space="preserve">): “The Impact of Terms of Trade and Real Exchange </w:t>
      </w:r>
      <w:r w:rsidR="002058EC">
        <w:rPr>
          <w:rFonts w:ascii="Garamond" w:hAnsi="Garamond"/>
        </w:rPr>
        <w:tab/>
      </w:r>
      <w:r>
        <w:rPr>
          <w:rFonts w:ascii="Garamond" w:hAnsi="Garamond"/>
        </w:rPr>
        <w:t>Rate Volatility on Investment and Growth in S</w:t>
      </w:r>
      <w:r w:rsidRPr="00217328">
        <w:rPr>
          <w:rFonts w:ascii="Garamond" w:hAnsi="Garamond"/>
        </w:rPr>
        <w:t>ub-Saharan Africa”</w:t>
      </w:r>
      <w:r>
        <w:rPr>
          <w:rFonts w:ascii="Garamond" w:hAnsi="Garamond"/>
        </w:rPr>
        <w:t>,</w:t>
      </w:r>
      <w:r w:rsidRPr="00DE272D">
        <w:rPr>
          <w:rFonts w:ascii="Garamond" w:hAnsi="Garamond"/>
        </w:rPr>
        <w:t xml:space="preserve"> </w:t>
      </w:r>
      <w:r>
        <w:rPr>
          <w:rFonts w:ascii="Garamond" w:hAnsi="Garamond"/>
        </w:rPr>
        <w:t xml:space="preserve">Journal of </w:t>
      </w:r>
      <w:r w:rsidR="002058EC">
        <w:rPr>
          <w:rFonts w:ascii="Garamond" w:hAnsi="Garamond"/>
        </w:rPr>
        <w:tab/>
      </w:r>
      <w:r w:rsidRPr="00DE272D">
        <w:rPr>
          <w:rFonts w:ascii="Garamond" w:hAnsi="Garamond"/>
        </w:rPr>
        <w:t>Development Economics</w:t>
      </w:r>
      <w:r w:rsidRPr="00217328">
        <w:rPr>
          <w:rFonts w:ascii="Garamond" w:hAnsi="Garamond"/>
        </w:rPr>
        <w:t xml:space="preserve">, Vol. 65, pp. 491-500. </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 xml:space="preserve">Blonigen, B. </w:t>
      </w:r>
      <w:r>
        <w:rPr>
          <w:rFonts w:ascii="Garamond" w:hAnsi="Garamond"/>
        </w:rPr>
        <w:t>(</w:t>
      </w:r>
      <w:r w:rsidRPr="00217328">
        <w:rPr>
          <w:rFonts w:ascii="Garamond" w:hAnsi="Garamond"/>
        </w:rPr>
        <w:t>1997</w:t>
      </w:r>
      <w:r>
        <w:rPr>
          <w:rFonts w:ascii="Garamond" w:hAnsi="Garamond"/>
        </w:rPr>
        <w:t xml:space="preserve">): “Firm-specific Assets and the Link between Exchange Rates and </w:t>
      </w:r>
      <w:r w:rsidR="002058EC">
        <w:rPr>
          <w:rFonts w:ascii="Garamond" w:hAnsi="Garamond"/>
        </w:rPr>
        <w:tab/>
      </w:r>
      <w:r>
        <w:rPr>
          <w:rFonts w:ascii="Garamond" w:hAnsi="Garamond"/>
        </w:rPr>
        <w:t>Foreign Direct I</w:t>
      </w:r>
      <w:r w:rsidRPr="00217328">
        <w:rPr>
          <w:rFonts w:ascii="Garamond" w:hAnsi="Garamond"/>
        </w:rPr>
        <w:t>nvestment”</w:t>
      </w:r>
      <w:r>
        <w:rPr>
          <w:rFonts w:ascii="Garamond" w:hAnsi="Garamond"/>
        </w:rPr>
        <w:t>,</w:t>
      </w:r>
      <w:r w:rsidRPr="00217328">
        <w:rPr>
          <w:rFonts w:ascii="Garamond" w:hAnsi="Garamond"/>
        </w:rPr>
        <w:t xml:space="preserve"> </w:t>
      </w:r>
      <w:r w:rsidRPr="001F166B">
        <w:rPr>
          <w:rFonts w:ascii="Garamond" w:hAnsi="Garamond"/>
        </w:rPr>
        <w:t>American Economic Review</w:t>
      </w:r>
      <w:r w:rsidRPr="00217328">
        <w:rPr>
          <w:rFonts w:ascii="Garamond" w:hAnsi="Garamond"/>
        </w:rPr>
        <w:t>, 87</w:t>
      </w:r>
      <w:r>
        <w:rPr>
          <w:rFonts w:ascii="Garamond" w:hAnsi="Garamond"/>
        </w:rPr>
        <w:t>(</w:t>
      </w:r>
      <w:r w:rsidRPr="00217328">
        <w:rPr>
          <w:rFonts w:ascii="Garamond" w:hAnsi="Garamond"/>
        </w:rPr>
        <w:t>3</w:t>
      </w:r>
      <w:r>
        <w:rPr>
          <w:rFonts w:ascii="Garamond" w:hAnsi="Garamond"/>
        </w:rPr>
        <w:t>)</w:t>
      </w:r>
      <w:r w:rsidRPr="00217328">
        <w:rPr>
          <w:rFonts w:ascii="Garamond" w:hAnsi="Garamond"/>
        </w:rPr>
        <w:t>, pp. 447-465.</w:t>
      </w:r>
    </w:p>
    <w:p w:rsidR="00AC6F2B" w:rsidRPr="00217328" w:rsidRDefault="00AC6F2B" w:rsidP="00AC6F2B">
      <w:pPr>
        <w:autoSpaceDE w:val="0"/>
        <w:autoSpaceDN w:val="0"/>
        <w:adjustRightInd w:val="0"/>
        <w:spacing w:line="360" w:lineRule="auto"/>
        <w:rPr>
          <w:rFonts w:ascii="Garamond" w:hAnsi="Garamond"/>
          <w:bCs/>
        </w:rPr>
      </w:pPr>
      <w:r>
        <w:rPr>
          <w:rFonts w:ascii="Garamond" w:hAnsi="Garamond"/>
          <w:bCs/>
        </w:rPr>
        <w:t>Brzozowski, M</w:t>
      </w:r>
      <w:r w:rsidRPr="00217328">
        <w:rPr>
          <w:rFonts w:ascii="Garamond" w:hAnsi="Garamond"/>
          <w:bCs/>
        </w:rPr>
        <w:t xml:space="preserve">. </w:t>
      </w:r>
      <w:r>
        <w:rPr>
          <w:rFonts w:ascii="Garamond" w:hAnsi="Garamond"/>
          <w:bCs/>
        </w:rPr>
        <w:t>(</w:t>
      </w:r>
      <w:r w:rsidRPr="00217328">
        <w:rPr>
          <w:rFonts w:ascii="Garamond" w:hAnsi="Garamond"/>
          <w:bCs/>
        </w:rPr>
        <w:t>2003</w:t>
      </w:r>
      <w:r>
        <w:rPr>
          <w:rFonts w:ascii="Garamond" w:hAnsi="Garamond"/>
          <w:bCs/>
        </w:rPr>
        <w:t>): “Exchange Rate Variability and Foreign Direct Investment-</w:t>
      </w:r>
      <w:r w:rsidR="002058EC">
        <w:rPr>
          <w:rFonts w:ascii="Garamond" w:hAnsi="Garamond"/>
          <w:bCs/>
        </w:rPr>
        <w:tab/>
      </w:r>
      <w:r>
        <w:rPr>
          <w:rFonts w:ascii="Garamond" w:hAnsi="Garamond"/>
          <w:bCs/>
        </w:rPr>
        <w:t>C</w:t>
      </w:r>
      <w:r w:rsidRPr="00217328">
        <w:rPr>
          <w:rFonts w:ascii="Garamond" w:hAnsi="Garamond"/>
          <w:bCs/>
        </w:rPr>
        <w:t>onsequences of EMU Enlargement”</w:t>
      </w:r>
      <w:r>
        <w:rPr>
          <w:rFonts w:ascii="Garamond" w:hAnsi="Garamond"/>
          <w:bCs/>
        </w:rPr>
        <w:t>,</w:t>
      </w:r>
      <w:r w:rsidRPr="00217328">
        <w:rPr>
          <w:rFonts w:ascii="Garamond" w:hAnsi="Garamond"/>
          <w:bCs/>
        </w:rPr>
        <w:t xml:space="preserve"> </w:t>
      </w:r>
      <w:r w:rsidRPr="001F166B">
        <w:rPr>
          <w:rFonts w:ascii="Garamond" w:hAnsi="Garamond"/>
          <w:bCs/>
        </w:rPr>
        <w:t>Studies and Analyses</w:t>
      </w:r>
      <w:r>
        <w:rPr>
          <w:rFonts w:ascii="Garamond" w:hAnsi="Garamond"/>
          <w:bCs/>
        </w:rPr>
        <w:t>,</w:t>
      </w:r>
      <w:r w:rsidRPr="00217328">
        <w:rPr>
          <w:rFonts w:ascii="Garamond" w:hAnsi="Garamond"/>
          <w:bCs/>
        </w:rPr>
        <w:t xml:space="preserve"> 258, Center for Social </w:t>
      </w:r>
      <w:r w:rsidRPr="00217328">
        <w:rPr>
          <w:rFonts w:ascii="Garamond" w:hAnsi="Garamond"/>
          <w:bCs/>
        </w:rPr>
        <w:tab/>
        <w:t>and Economic Research, Warsaw, Poland.</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 xml:space="preserve">Campa, J. </w:t>
      </w:r>
      <w:r>
        <w:rPr>
          <w:rFonts w:ascii="Garamond" w:hAnsi="Garamond"/>
        </w:rPr>
        <w:t>(</w:t>
      </w:r>
      <w:r w:rsidRPr="00217328">
        <w:rPr>
          <w:rFonts w:ascii="Garamond" w:hAnsi="Garamond"/>
        </w:rPr>
        <w:t>1993</w:t>
      </w:r>
      <w:r>
        <w:rPr>
          <w:rFonts w:ascii="Garamond" w:hAnsi="Garamond"/>
        </w:rPr>
        <w:t>):</w:t>
      </w:r>
      <w:r w:rsidRPr="00217328">
        <w:rPr>
          <w:rFonts w:ascii="Garamond" w:hAnsi="Garamond"/>
        </w:rPr>
        <w:t xml:space="preserve"> “Entry by Foreign Firms in the US under Exchange-Rate Uncertainty”</w:t>
      </w:r>
      <w:r>
        <w:rPr>
          <w:rFonts w:ascii="Garamond" w:hAnsi="Garamond"/>
        </w:rPr>
        <w:t xml:space="preserve">, </w:t>
      </w:r>
      <w:r w:rsidR="002058EC">
        <w:rPr>
          <w:rFonts w:ascii="Garamond" w:hAnsi="Garamond"/>
        </w:rPr>
        <w:tab/>
      </w:r>
      <w:r>
        <w:rPr>
          <w:rFonts w:ascii="Garamond" w:hAnsi="Garamond"/>
          <w:iCs/>
        </w:rPr>
        <w:t xml:space="preserve">Review of Economics and </w:t>
      </w:r>
      <w:r w:rsidRPr="001F166B">
        <w:rPr>
          <w:rFonts w:ascii="Garamond" w:hAnsi="Garamond"/>
          <w:iCs/>
        </w:rPr>
        <w:t>Statistics</w:t>
      </w:r>
      <w:r w:rsidRPr="00217328">
        <w:rPr>
          <w:rFonts w:ascii="Garamond" w:hAnsi="Garamond"/>
        </w:rPr>
        <w:t>, 75</w:t>
      </w:r>
      <w:r>
        <w:rPr>
          <w:rFonts w:ascii="Garamond" w:hAnsi="Garamond"/>
        </w:rPr>
        <w:t>(</w:t>
      </w:r>
      <w:r w:rsidRPr="00217328">
        <w:rPr>
          <w:rFonts w:ascii="Garamond" w:hAnsi="Garamond"/>
        </w:rPr>
        <w:t>4</w:t>
      </w:r>
      <w:r>
        <w:rPr>
          <w:rFonts w:ascii="Garamond" w:hAnsi="Garamond"/>
        </w:rPr>
        <w:t>)</w:t>
      </w:r>
      <w:r w:rsidRPr="00217328">
        <w:rPr>
          <w:rFonts w:ascii="Garamond" w:hAnsi="Garamond"/>
        </w:rPr>
        <w:t>, pp. 614-622.</w:t>
      </w:r>
    </w:p>
    <w:p w:rsidR="00AC6F2B" w:rsidRPr="00217328" w:rsidRDefault="00AC6F2B" w:rsidP="00AC6F2B">
      <w:pPr>
        <w:autoSpaceDE w:val="0"/>
        <w:autoSpaceDN w:val="0"/>
        <w:adjustRightInd w:val="0"/>
        <w:spacing w:line="360" w:lineRule="auto"/>
        <w:rPr>
          <w:rFonts w:ascii="Garamond" w:hAnsi="Garamond"/>
        </w:rPr>
      </w:pPr>
      <w:r>
        <w:rPr>
          <w:rFonts w:ascii="Garamond" w:hAnsi="Garamond"/>
        </w:rPr>
        <w:t>Chakrabarti, A.</w:t>
      </w:r>
      <w:r w:rsidRPr="00217328">
        <w:rPr>
          <w:rFonts w:ascii="Garamond" w:hAnsi="Garamond"/>
        </w:rPr>
        <w:t xml:space="preserve"> </w:t>
      </w:r>
      <w:r>
        <w:rPr>
          <w:rFonts w:ascii="Garamond" w:hAnsi="Garamond"/>
        </w:rPr>
        <w:t>(</w:t>
      </w:r>
      <w:r w:rsidRPr="00217328">
        <w:rPr>
          <w:rFonts w:ascii="Garamond" w:hAnsi="Garamond"/>
        </w:rPr>
        <w:t>2001</w:t>
      </w:r>
      <w:r>
        <w:rPr>
          <w:rFonts w:ascii="Garamond" w:hAnsi="Garamond"/>
        </w:rPr>
        <w:t xml:space="preserve">): “The Determinants of Foreign Direct Investment: Sensitivity </w:t>
      </w:r>
      <w:r w:rsidR="002058EC">
        <w:rPr>
          <w:rFonts w:ascii="Garamond" w:hAnsi="Garamond"/>
        </w:rPr>
        <w:tab/>
      </w:r>
      <w:r>
        <w:rPr>
          <w:rFonts w:ascii="Garamond" w:hAnsi="Garamond"/>
        </w:rPr>
        <w:t>Analysis of Cross C</w:t>
      </w:r>
      <w:r w:rsidRPr="00217328">
        <w:rPr>
          <w:rFonts w:ascii="Garamond" w:hAnsi="Garamond"/>
        </w:rPr>
        <w:t xml:space="preserve">ountry Regressions’. </w:t>
      </w:r>
      <w:r w:rsidRPr="001F166B">
        <w:rPr>
          <w:rFonts w:ascii="Garamond" w:hAnsi="Garamond"/>
          <w:iCs/>
        </w:rPr>
        <w:t>Kyklos</w:t>
      </w:r>
      <w:r w:rsidRPr="00217328">
        <w:rPr>
          <w:rFonts w:ascii="Garamond" w:hAnsi="Garamond"/>
          <w:i/>
          <w:iCs/>
        </w:rPr>
        <w:t xml:space="preserve">, </w:t>
      </w:r>
      <w:r w:rsidRPr="00217328">
        <w:rPr>
          <w:rFonts w:ascii="Garamond" w:hAnsi="Garamond"/>
          <w:iCs/>
        </w:rPr>
        <w:t xml:space="preserve"> </w:t>
      </w:r>
      <w:r w:rsidRPr="00217328">
        <w:rPr>
          <w:rFonts w:ascii="Garamond" w:hAnsi="Garamond"/>
        </w:rPr>
        <w:t>54</w:t>
      </w:r>
      <w:r>
        <w:rPr>
          <w:rFonts w:ascii="Garamond" w:hAnsi="Garamond"/>
        </w:rPr>
        <w:t>(</w:t>
      </w:r>
      <w:r w:rsidRPr="00217328">
        <w:rPr>
          <w:rFonts w:ascii="Garamond" w:hAnsi="Garamond"/>
        </w:rPr>
        <w:t>1</w:t>
      </w:r>
      <w:r>
        <w:rPr>
          <w:rFonts w:ascii="Garamond" w:hAnsi="Garamond"/>
        </w:rPr>
        <w:t>)</w:t>
      </w:r>
      <w:r w:rsidRPr="00217328">
        <w:rPr>
          <w:rFonts w:ascii="Garamond" w:hAnsi="Garamond"/>
        </w:rPr>
        <w:t>, pp.  89–113.</w:t>
      </w:r>
    </w:p>
    <w:p w:rsidR="00AC6F2B" w:rsidRPr="001F166B" w:rsidRDefault="00AC6F2B" w:rsidP="00AC6F2B">
      <w:pPr>
        <w:autoSpaceDE w:val="0"/>
        <w:autoSpaceDN w:val="0"/>
        <w:adjustRightInd w:val="0"/>
        <w:spacing w:line="360" w:lineRule="auto"/>
        <w:rPr>
          <w:rFonts w:ascii="Garamond" w:eastAsia="Times New Roman" w:hAnsi="Garamond"/>
        </w:rPr>
      </w:pPr>
      <w:r>
        <w:rPr>
          <w:rFonts w:ascii="Garamond" w:hAnsi="Garamond"/>
        </w:rPr>
        <w:t>Chakrabarti, R.</w:t>
      </w:r>
      <w:r w:rsidRPr="00217328">
        <w:rPr>
          <w:rFonts w:ascii="Garamond" w:hAnsi="Garamond"/>
        </w:rPr>
        <w:t xml:space="preserve"> and Scholnick</w:t>
      </w:r>
      <w:r>
        <w:rPr>
          <w:rFonts w:ascii="Garamond" w:hAnsi="Garamond"/>
        </w:rPr>
        <w:t>, B</w:t>
      </w:r>
      <w:r w:rsidRPr="00217328">
        <w:rPr>
          <w:rFonts w:ascii="Garamond" w:hAnsi="Garamond"/>
        </w:rPr>
        <w:t xml:space="preserve">. </w:t>
      </w:r>
      <w:r>
        <w:rPr>
          <w:rFonts w:ascii="Garamond" w:hAnsi="Garamond"/>
        </w:rPr>
        <w:t>(</w:t>
      </w:r>
      <w:r w:rsidRPr="00217328">
        <w:rPr>
          <w:rFonts w:ascii="Garamond" w:hAnsi="Garamond"/>
        </w:rPr>
        <w:t>2002</w:t>
      </w:r>
      <w:r>
        <w:rPr>
          <w:rFonts w:ascii="Garamond" w:hAnsi="Garamond"/>
        </w:rPr>
        <w:t>):</w:t>
      </w:r>
      <w:r w:rsidRPr="00217328">
        <w:rPr>
          <w:rFonts w:ascii="Garamond" w:eastAsia="Times New Roman" w:hAnsi="Garamond"/>
        </w:rPr>
        <w:t xml:space="preserve"> “Exch</w:t>
      </w:r>
      <w:r>
        <w:rPr>
          <w:rFonts w:ascii="Garamond" w:eastAsia="Times New Roman" w:hAnsi="Garamond"/>
        </w:rPr>
        <w:t xml:space="preserve">ange Rate Expectations and FDI </w:t>
      </w:r>
      <w:r w:rsidRPr="00217328">
        <w:rPr>
          <w:rFonts w:ascii="Garamond" w:eastAsia="Times New Roman" w:hAnsi="Garamond"/>
        </w:rPr>
        <w:t xml:space="preserve">Flows”. </w:t>
      </w:r>
      <w:r w:rsidR="002058EC">
        <w:rPr>
          <w:rFonts w:ascii="Garamond" w:eastAsia="Times New Roman" w:hAnsi="Garamond"/>
        </w:rPr>
        <w:tab/>
      </w:r>
      <w:r w:rsidRPr="001F166B">
        <w:rPr>
          <w:rFonts w:ascii="Garamond" w:eastAsia="Times New Roman" w:hAnsi="Garamond"/>
          <w:iCs/>
        </w:rPr>
        <w:t xml:space="preserve">Weltwirtschaftliches Archiv – Review of World Economics, </w:t>
      </w:r>
      <w:r w:rsidRPr="001F166B">
        <w:rPr>
          <w:rFonts w:ascii="Garamond" w:eastAsia="Times New Roman" w:hAnsi="Garamond"/>
        </w:rPr>
        <w:t>138(1)</w:t>
      </w:r>
      <w:r>
        <w:rPr>
          <w:rFonts w:ascii="Garamond" w:eastAsia="Times New Roman" w:hAnsi="Garamond"/>
        </w:rPr>
        <w:t>, pp. 1-21</w:t>
      </w:r>
      <w:r w:rsidRPr="001F166B">
        <w:rPr>
          <w:rFonts w:ascii="Garamond" w:eastAsia="Times New Roman" w:hAnsi="Garamond"/>
        </w:rPr>
        <w:t xml:space="preserve">. </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 xml:space="preserve">Cushman, D. </w:t>
      </w:r>
      <w:r>
        <w:rPr>
          <w:rFonts w:ascii="Garamond" w:hAnsi="Garamond"/>
        </w:rPr>
        <w:t xml:space="preserve">(1985) “Real Exchange Rate Risk, Expectations, and the Level of Direct </w:t>
      </w:r>
      <w:r w:rsidR="002058EC">
        <w:rPr>
          <w:rFonts w:ascii="Garamond" w:hAnsi="Garamond"/>
        </w:rPr>
        <w:tab/>
      </w:r>
      <w:r>
        <w:rPr>
          <w:rFonts w:ascii="Garamond" w:hAnsi="Garamond"/>
        </w:rPr>
        <w:t xml:space="preserve">Investment”, </w:t>
      </w:r>
      <w:r w:rsidRPr="00AA6F60">
        <w:rPr>
          <w:rFonts w:ascii="Garamond" w:hAnsi="Garamond"/>
        </w:rPr>
        <w:t>The Review of Economics and Statistics</w:t>
      </w:r>
      <w:r w:rsidRPr="00217328">
        <w:rPr>
          <w:rFonts w:ascii="Garamond" w:hAnsi="Garamond"/>
        </w:rPr>
        <w:t>, 67</w:t>
      </w:r>
      <w:r>
        <w:rPr>
          <w:rFonts w:ascii="Garamond" w:hAnsi="Garamond"/>
        </w:rPr>
        <w:t>(</w:t>
      </w:r>
      <w:r w:rsidRPr="00217328">
        <w:rPr>
          <w:rFonts w:ascii="Garamond" w:hAnsi="Garamond"/>
        </w:rPr>
        <w:t>2</w:t>
      </w:r>
      <w:r>
        <w:rPr>
          <w:rFonts w:ascii="Garamond" w:hAnsi="Garamond"/>
        </w:rPr>
        <w:t>)</w:t>
      </w:r>
      <w:r w:rsidRPr="00217328">
        <w:rPr>
          <w:rFonts w:ascii="Garamond" w:hAnsi="Garamond"/>
        </w:rPr>
        <w:t>, pp. 297-308.</w:t>
      </w:r>
    </w:p>
    <w:p w:rsidR="00AC6F2B" w:rsidRPr="00217328" w:rsidRDefault="00AC6F2B" w:rsidP="00AC6F2B">
      <w:pPr>
        <w:autoSpaceDE w:val="0"/>
        <w:autoSpaceDN w:val="0"/>
        <w:adjustRightInd w:val="0"/>
        <w:spacing w:line="360" w:lineRule="auto"/>
        <w:rPr>
          <w:rFonts w:ascii="Garamond" w:hAnsi="Garamond"/>
        </w:rPr>
      </w:pPr>
      <w:r>
        <w:rPr>
          <w:rFonts w:ascii="Garamond" w:hAnsi="Garamond"/>
        </w:rPr>
        <w:t>Cushman, D.O. (1988) “Exchange Rate Uncertainty and F</w:t>
      </w:r>
      <w:r w:rsidRPr="00217328">
        <w:rPr>
          <w:rFonts w:ascii="Garamond" w:hAnsi="Garamond"/>
        </w:rPr>
        <w:t>o</w:t>
      </w:r>
      <w:r>
        <w:rPr>
          <w:rFonts w:ascii="Garamond" w:hAnsi="Garamond"/>
        </w:rPr>
        <w:t xml:space="preserve">reign Direct Investment in the </w:t>
      </w:r>
      <w:r w:rsidR="002058EC">
        <w:rPr>
          <w:rFonts w:ascii="Garamond" w:hAnsi="Garamond"/>
        </w:rPr>
        <w:tab/>
      </w:r>
      <w:r>
        <w:rPr>
          <w:rFonts w:ascii="Garamond" w:hAnsi="Garamond"/>
        </w:rPr>
        <w:t xml:space="preserve">United States”, </w:t>
      </w:r>
      <w:r w:rsidRPr="00AA6F60">
        <w:rPr>
          <w:rFonts w:ascii="Garamond" w:hAnsi="Garamond"/>
          <w:iCs/>
        </w:rPr>
        <w:t>Weltwirtschaftliches Archiv</w:t>
      </w:r>
      <w:r w:rsidRPr="00AA6F60">
        <w:rPr>
          <w:rFonts w:ascii="Garamond" w:hAnsi="Garamond"/>
        </w:rPr>
        <w:t>,</w:t>
      </w:r>
      <w:r w:rsidRPr="00217328">
        <w:rPr>
          <w:rFonts w:ascii="Garamond" w:hAnsi="Garamond"/>
        </w:rPr>
        <w:t xml:space="preserve"> 124, pp.322-336.</w:t>
      </w:r>
    </w:p>
    <w:p w:rsidR="00AC6F2B" w:rsidRPr="00217328" w:rsidRDefault="00AC6F2B" w:rsidP="00AC6F2B">
      <w:pPr>
        <w:autoSpaceDE w:val="0"/>
        <w:autoSpaceDN w:val="0"/>
        <w:adjustRightInd w:val="0"/>
        <w:spacing w:line="360" w:lineRule="auto"/>
        <w:rPr>
          <w:rFonts w:ascii="Garamond" w:eastAsia="Times New Roman" w:hAnsi="Garamond"/>
        </w:rPr>
      </w:pPr>
      <w:r>
        <w:rPr>
          <w:rFonts w:ascii="Garamond" w:eastAsia="Times New Roman" w:hAnsi="Garamond"/>
        </w:rPr>
        <w:t>Devereux, M.</w:t>
      </w:r>
      <w:r w:rsidRPr="00217328">
        <w:rPr>
          <w:rFonts w:ascii="Garamond" w:eastAsia="Times New Roman" w:hAnsi="Garamond"/>
        </w:rPr>
        <w:t xml:space="preserve"> B. and Enge</w:t>
      </w:r>
      <w:r>
        <w:rPr>
          <w:rFonts w:ascii="Garamond" w:eastAsia="Times New Roman" w:hAnsi="Garamond"/>
        </w:rPr>
        <w:t>l, C</w:t>
      </w:r>
      <w:r w:rsidRPr="00217328">
        <w:rPr>
          <w:rFonts w:ascii="Garamond" w:eastAsia="Times New Roman" w:hAnsi="Garamond"/>
        </w:rPr>
        <w:t xml:space="preserve">. </w:t>
      </w:r>
      <w:r>
        <w:rPr>
          <w:rFonts w:ascii="Garamond" w:eastAsia="Times New Roman" w:hAnsi="Garamond"/>
        </w:rPr>
        <w:t>(</w:t>
      </w:r>
      <w:r w:rsidRPr="00217328">
        <w:rPr>
          <w:rFonts w:ascii="Garamond" w:eastAsia="Times New Roman" w:hAnsi="Garamond"/>
        </w:rPr>
        <w:t>2001</w:t>
      </w:r>
      <w:r>
        <w:rPr>
          <w:rFonts w:ascii="Garamond" w:eastAsia="Times New Roman" w:hAnsi="Garamond"/>
        </w:rPr>
        <w:t>):</w:t>
      </w:r>
      <w:r w:rsidRPr="00217328">
        <w:rPr>
          <w:rFonts w:ascii="Garamond" w:eastAsia="Times New Roman" w:hAnsi="Garamond"/>
        </w:rPr>
        <w:t xml:space="preserve"> “Endogenous </w:t>
      </w:r>
      <w:r>
        <w:rPr>
          <w:rFonts w:ascii="Garamond" w:eastAsia="Times New Roman" w:hAnsi="Garamond"/>
        </w:rPr>
        <w:t xml:space="preserve">Currency of Pricing in a Dynamic </w:t>
      </w:r>
      <w:r w:rsidR="002058EC">
        <w:rPr>
          <w:rFonts w:ascii="Garamond" w:eastAsia="Times New Roman" w:hAnsi="Garamond"/>
        </w:rPr>
        <w:tab/>
      </w:r>
      <w:r>
        <w:rPr>
          <w:rFonts w:ascii="Garamond" w:eastAsia="Times New Roman" w:hAnsi="Garamond"/>
        </w:rPr>
        <w:t>Open Economy M</w:t>
      </w:r>
      <w:r w:rsidRPr="00217328">
        <w:rPr>
          <w:rFonts w:ascii="Garamond" w:eastAsia="Times New Roman" w:hAnsi="Garamond"/>
        </w:rPr>
        <w:t>odel”. National Bureau</w:t>
      </w:r>
      <w:r>
        <w:rPr>
          <w:rFonts w:ascii="Garamond" w:eastAsia="Times New Roman" w:hAnsi="Garamond"/>
        </w:rPr>
        <w:t xml:space="preserve"> of Economic Research, working </w:t>
      </w:r>
      <w:r w:rsidRPr="00217328">
        <w:rPr>
          <w:rFonts w:ascii="Garamond" w:eastAsia="Times New Roman" w:hAnsi="Garamond"/>
        </w:rPr>
        <w:t xml:space="preserve">paper no. </w:t>
      </w:r>
      <w:r w:rsidR="002058EC">
        <w:rPr>
          <w:rFonts w:ascii="Garamond" w:eastAsia="Times New Roman" w:hAnsi="Garamond"/>
        </w:rPr>
        <w:tab/>
      </w:r>
      <w:r w:rsidRPr="00217328">
        <w:rPr>
          <w:rFonts w:ascii="Garamond" w:eastAsia="Times New Roman" w:hAnsi="Garamond"/>
        </w:rPr>
        <w:t>8559.</w:t>
      </w:r>
    </w:p>
    <w:p w:rsidR="00AC6F2B" w:rsidRPr="00217328" w:rsidRDefault="00AC6F2B" w:rsidP="00AC6F2B">
      <w:pPr>
        <w:autoSpaceDE w:val="0"/>
        <w:autoSpaceDN w:val="0"/>
        <w:adjustRightInd w:val="0"/>
        <w:spacing w:line="360" w:lineRule="auto"/>
        <w:rPr>
          <w:rFonts w:ascii="Garamond" w:eastAsia="Times New Roman" w:hAnsi="Garamond" w:cs="AdvTimes"/>
        </w:rPr>
      </w:pPr>
      <w:r>
        <w:rPr>
          <w:rFonts w:ascii="Garamond" w:hAnsi="Garamond"/>
          <w:bCs/>
        </w:rPr>
        <w:t>Dixit, A.</w:t>
      </w:r>
      <w:r w:rsidRPr="00217328">
        <w:rPr>
          <w:rFonts w:ascii="Garamond" w:hAnsi="Garamond"/>
          <w:bCs/>
        </w:rPr>
        <w:t xml:space="preserve"> K. and Pindyck</w:t>
      </w:r>
      <w:r>
        <w:rPr>
          <w:rFonts w:ascii="Garamond" w:hAnsi="Garamond"/>
          <w:bCs/>
        </w:rPr>
        <w:t>, R. S</w:t>
      </w:r>
      <w:r w:rsidRPr="00217328">
        <w:rPr>
          <w:rFonts w:ascii="Garamond" w:hAnsi="Garamond"/>
          <w:bCs/>
        </w:rPr>
        <w:t xml:space="preserve">. </w:t>
      </w:r>
      <w:r>
        <w:rPr>
          <w:rFonts w:ascii="Garamond" w:hAnsi="Garamond"/>
          <w:bCs/>
        </w:rPr>
        <w:t>(</w:t>
      </w:r>
      <w:r w:rsidRPr="00217328">
        <w:rPr>
          <w:rFonts w:ascii="Garamond" w:hAnsi="Garamond"/>
          <w:bCs/>
        </w:rPr>
        <w:t>1994</w:t>
      </w:r>
      <w:r>
        <w:rPr>
          <w:rFonts w:ascii="Garamond" w:hAnsi="Garamond"/>
          <w:bCs/>
        </w:rPr>
        <w:t>):</w:t>
      </w:r>
      <w:r w:rsidRPr="00217328">
        <w:rPr>
          <w:rFonts w:ascii="Garamond" w:hAnsi="Garamond"/>
          <w:bCs/>
        </w:rPr>
        <w:t xml:space="preserve"> </w:t>
      </w:r>
      <w:r>
        <w:rPr>
          <w:rFonts w:ascii="Garamond" w:hAnsi="Garamond"/>
        </w:rPr>
        <w:t>Investment U</w:t>
      </w:r>
      <w:r w:rsidRPr="00217328">
        <w:rPr>
          <w:rFonts w:ascii="Garamond" w:hAnsi="Garamond"/>
        </w:rPr>
        <w:t xml:space="preserve">nder Uncertainty. </w:t>
      </w:r>
      <w:r w:rsidRPr="00217328">
        <w:rPr>
          <w:rFonts w:ascii="Garamond" w:eastAsia="Times New Roman" w:hAnsi="Garamond" w:cs="AdvTimes"/>
        </w:rPr>
        <w:t xml:space="preserve">Princeton, New </w:t>
      </w:r>
      <w:r w:rsidR="002058EC">
        <w:rPr>
          <w:rFonts w:ascii="Garamond" w:eastAsia="Times New Roman" w:hAnsi="Garamond" w:cs="AdvTimes"/>
        </w:rPr>
        <w:tab/>
      </w:r>
      <w:r w:rsidRPr="00217328">
        <w:rPr>
          <w:rFonts w:ascii="Garamond" w:eastAsia="Times New Roman" w:hAnsi="Garamond" w:cs="AdvTimes"/>
        </w:rPr>
        <w:t>Jersey</w:t>
      </w:r>
      <w:r>
        <w:rPr>
          <w:rFonts w:ascii="Garamond" w:eastAsia="Times New Roman" w:hAnsi="Garamond" w:cs="AdvTimes"/>
        </w:rPr>
        <w:t>: Princeton University Press</w:t>
      </w:r>
      <w:r w:rsidRPr="00217328">
        <w:rPr>
          <w:rFonts w:ascii="Garamond" w:eastAsia="Times New Roman" w:hAnsi="Garamond" w:cs="AdvTimes"/>
        </w:rPr>
        <w:t>.</w:t>
      </w:r>
    </w:p>
    <w:p w:rsidR="00AC6F2B" w:rsidRPr="00217328" w:rsidRDefault="00AC6F2B" w:rsidP="00AC6F2B">
      <w:pPr>
        <w:autoSpaceDE w:val="0"/>
        <w:autoSpaceDN w:val="0"/>
        <w:adjustRightInd w:val="0"/>
        <w:spacing w:line="360" w:lineRule="auto"/>
        <w:rPr>
          <w:rFonts w:ascii="Garamond" w:hAnsi="Garamond"/>
        </w:rPr>
      </w:pPr>
      <w:r>
        <w:rPr>
          <w:rFonts w:ascii="Garamond" w:hAnsi="Garamond"/>
        </w:rPr>
        <w:t>Dufey, G</w:t>
      </w:r>
      <w:r w:rsidRPr="00217328">
        <w:rPr>
          <w:rFonts w:ascii="Garamond" w:hAnsi="Garamond"/>
        </w:rPr>
        <w:t xml:space="preserve">. </w:t>
      </w:r>
      <w:r>
        <w:rPr>
          <w:rFonts w:ascii="Garamond" w:hAnsi="Garamond"/>
        </w:rPr>
        <w:t>(</w:t>
      </w:r>
      <w:r w:rsidRPr="00217328">
        <w:rPr>
          <w:rFonts w:ascii="Garamond" w:hAnsi="Garamond"/>
        </w:rPr>
        <w:t>1972</w:t>
      </w:r>
      <w:r>
        <w:rPr>
          <w:rFonts w:ascii="Garamond" w:hAnsi="Garamond"/>
        </w:rPr>
        <w:t>): “Corporate Finance and Exchange Rate V</w:t>
      </w:r>
      <w:r w:rsidRPr="00217328">
        <w:rPr>
          <w:rFonts w:ascii="Garamond" w:hAnsi="Garamond"/>
        </w:rPr>
        <w:t xml:space="preserve">ariations”. </w:t>
      </w:r>
      <w:r w:rsidRPr="00AA6F60">
        <w:rPr>
          <w:rFonts w:ascii="Garamond" w:hAnsi="Garamond"/>
        </w:rPr>
        <w:t xml:space="preserve">Financial </w:t>
      </w:r>
      <w:r w:rsidR="002058EC">
        <w:rPr>
          <w:rFonts w:ascii="Garamond" w:hAnsi="Garamond"/>
        </w:rPr>
        <w:tab/>
      </w:r>
      <w:r w:rsidRPr="00AA6F60">
        <w:rPr>
          <w:rFonts w:ascii="Garamond" w:hAnsi="Garamond"/>
        </w:rPr>
        <w:t>Management,</w:t>
      </w:r>
      <w:r w:rsidRPr="00217328">
        <w:rPr>
          <w:rFonts w:ascii="Garamond" w:hAnsi="Garamond"/>
        </w:rPr>
        <w:t xml:space="preserve"> </w:t>
      </w:r>
      <w:r w:rsidRPr="00217328">
        <w:rPr>
          <w:rFonts w:ascii="Garamond" w:hAnsi="Garamond"/>
        </w:rPr>
        <w:tab/>
        <w:t>Summer, pp. 51-57.</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lastRenderedPageBreak/>
        <w:t>Froot, K. and Stein</w:t>
      </w:r>
      <w:r>
        <w:rPr>
          <w:rFonts w:ascii="Garamond" w:hAnsi="Garamond"/>
        </w:rPr>
        <w:t xml:space="preserve">, </w:t>
      </w:r>
      <w:r w:rsidRPr="00217328">
        <w:rPr>
          <w:rFonts w:ascii="Garamond" w:hAnsi="Garamond"/>
        </w:rPr>
        <w:t xml:space="preserve">J. </w:t>
      </w:r>
      <w:r>
        <w:rPr>
          <w:rFonts w:ascii="Garamond" w:hAnsi="Garamond"/>
        </w:rPr>
        <w:t>(1991):</w:t>
      </w:r>
      <w:r w:rsidRPr="00217328">
        <w:rPr>
          <w:rFonts w:ascii="Garamond" w:hAnsi="Garamond"/>
        </w:rPr>
        <w:t xml:space="preserve"> </w:t>
      </w:r>
      <w:r>
        <w:rPr>
          <w:rFonts w:ascii="Garamond" w:hAnsi="Garamond"/>
        </w:rPr>
        <w:t xml:space="preserve">“Exchange Rates and Foreign Direct Investment: An </w:t>
      </w:r>
      <w:r w:rsidR="002058EC">
        <w:rPr>
          <w:rFonts w:ascii="Garamond" w:hAnsi="Garamond"/>
        </w:rPr>
        <w:tab/>
      </w:r>
      <w:r>
        <w:rPr>
          <w:rFonts w:ascii="Garamond" w:hAnsi="Garamond"/>
        </w:rPr>
        <w:t>Imperfect Capital Markets A</w:t>
      </w:r>
      <w:r w:rsidRPr="00217328">
        <w:rPr>
          <w:rFonts w:ascii="Garamond" w:hAnsi="Garamond"/>
        </w:rPr>
        <w:t xml:space="preserve">pproach’, </w:t>
      </w:r>
      <w:r w:rsidRPr="00AA6F60">
        <w:rPr>
          <w:rFonts w:ascii="Garamond" w:hAnsi="Garamond"/>
          <w:iCs/>
        </w:rPr>
        <w:t>Quarterly Journal of Economics,</w:t>
      </w:r>
      <w:r w:rsidRPr="00217328">
        <w:rPr>
          <w:rFonts w:ascii="Garamond" w:hAnsi="Garamond"/>
          <w:i/>
          <w:iCs/>
        </w:rPr>
        <w:t xml:space="preserve"> </w:t>
      </w:r>
      <w:r w:rsidRPr="00217328">
        <w:rPr>
          <w:rFonts w:ascii="Garamond" w:hAnsi="Garamond"/>
        </w:rPr>
        <w:t>106</w:t>
      </w:r>
      <w:r>
        <w:rPr>
          <w:rFonts w:ascii="Garamond" w:hAnsi="Garamond"/>
        </w:rPr>
        <w:t>(</w:t>
      </w:r>
      <w:r w:rsidRPr="00217328">
        <w:rPr>
          <w:rFonts w:ascii="Garamond" w:hAnsi="Garamond"/>
        </w:rPr>
        <w:t>4</w:t>
      </w:r>
      <w:r>
        <w:rPr>
          <w:rFonts w:ascii="Garamond" w:hAnsi="Garamond"/>
        </w:rPr>
        <w:t>)</w:t>
      </w:r>
      <w:r w:rsidRPr="00217328">
        <w:rPr>
          <w:rFonts w:ascii="Garamond" w:hAnsi="Garamond"/>
        </w:rPr>
        <w:t xml:space="preserve">, pp. </w:t>
      </w:r>
      <w:r w:rsidR="002058EC">
        <w:rPr>
          <w:rFonts w:ascii="Garamond" w:hAnsi="Garamond"/>
        </w:rPr>
        <w:tab/>
      </w:r>
      <w:r w:rsidRPr="00217328">
        <w:rPr>
          <w:rFonts w:ascii="Garamond" w:hAnsi="Garamond"/>
        </w:rPr>
        <w:t>1191-1217.</w:t>
      </w:r>
    </w:p>
    <w:p w:rsidR="00AC6F2B" w:rsidRPr="00217328" w:rsidRDefault="00AC6F2B" w:rsidP="00AC6F2B">
      <w:pPr>
        <w:autoSpaceDE w:val="0"/>
        <w:autoSpaceDN w:val="0"/>
        <w:adjustRightInd w:val="0"/>
        <w:spacing w:line="360" w:lineRule="auto"/>
        <w:rPr>
          <w:rFonts w:ascii="Garamond" w:hAnsi="Garamond"/>
        </w:rPr>
      </w:pPr>
      <w:r>
        <w:rPr>
          <w:rFonts w:ascii="Garamond" w:hAnsi="Garamond"/>
        </w:rPr>
        <w:t>Galgau, O.</w:t>
      </w:r>
      <w:r w:rsidRPr="00217328">
        <w:rPr>
          <w:rFonts w:ascii="Garamond" w:hAnsi="Garamond"/>
        </w:rPr>
        <w:t xml:space="preserve"> and Sekkat</w:t>
      </w:r>
      <w:r>
        <w:rPr>
          <w:rFonts w:ascii="Garamond" w:hAnsi="Garamond"/>
        </w:rPr>
        <w:t>, K</w:t>
      </w:r>
      <w:r w:rsidRPr="00217328">
        <w:rPr>
          <w:rFonts w:ascii="Garamond" w:hAnsi="Garamond"/>
        </w:rPr>
        <w:t xml:space="preserve">. </w:t>
      </w:r>
      <w:r>
        <w:rPr>
          <w:rFonts w:ascii="Garamond" w:hAnsi="Garamond"/>
        </w:rPr>
        <w:t>(</w:t>
      </w:r>
      <w:r w:rsidRPr="00217328">
        <w:rPr>
          <w:rFonts w:ascii="Garamond" w:hAnsi="Garamond"/>
        </w:rPr>
        <w:t>2004</w:t>
      </w:r>
      <w:r>
        <w:rPr>
          <w:rFonts w:ascii="Garamond" w:hAnsi="Garamond"/>
        </w:rPr>
        <w:t>):</w:t>
      </w:r>
      <w:r w:rsidRPr="00217328">
        <w:rPr>
          <w:rFonts w:ascii="Garamond" w:hAnsi="Garamond"/>
        </w:rPr>
        <w:t xml:space="preserve"> </w:t>
      </w:r>
      <w:r>
        <w:rPr>
          <w:rFonts w:ascii="Garamond" w:hAnsi="Garamond"/>
        </w:rPr>
        <w:t>“</w:t>
      </w:r>
      <w:hyperlink r:id="rId77" w:history="1">
        <w:r w:rsidRPr="002058EC">
          <w:rPr>
            <w:rStyle w:val="Hyperlink"/>
            <w:rFonts w:ascii="Garamond" w:hAnsi="Garamond"/>
            <w:bCs/>
            <w:color w:val="auto"/>
            <w:u w:val="none"/>
          </w:rPr>
          <w:t xml:space="preserve">Does Economic Integration Affect FDI Inflows to </w:t>
        </w:r>
        <w:r w:rsidR="002058EC">
          <w:rPr>
            <w:rStyle w:val="Hyperlink"/>
            <w:rFonts w:ascii="Garamond" w:hAnsi="Garamond"/>
            <w:bCs/>
            <w:color w:val="auto"/>
            <w:u w:val="none"/>
          </w:rPr>
          <w:tab/>
        </w:r>
        <w:r w:rsidRPr="002058EC">
          <w:rPr>
            <w:rStyle w:val="Hyperlink"/>
            <w:rFonts w:ascii="Garamond" w:hAnsi="Garamond"/>
            <w:bCs/>
            <w:color w:val="auto"/>
            <w:u w:val="none"/>
          </w:rPr>
          <w:t>Member Countries Equally? : An empirical Analysis for Europe</w:t>
        </w:r>
      </w:hyperlink>
      <w:r w:rsidRPr="002058EC">
        <w:rPr>
          <w:rFonts w:ascii="Garamond" w:hAnsi="Garamond"/>
        </w:rPr>
        <w:t xml:space="preserve">,” </w:t>
      </w:r>
      <w:hyperlink r:id="rId78" w:history="1">
        <w:r w:rsidRPr="002058EC">
          <w:rPr>
            <w:rStyle w:val="Hyperlink"/>
            <w:rFonts w:ascii="Garamond" w:hAnsi="Garamond"/>
            <w:color w:val="auto"/>
            <w:u w:val="none"/>
          </w:rPr>
          <w:t xml:space="preserve">Working Papers </w:t>
        </w:r>
        <w:r w:rsidR="002058EC">
          <w:rPr>
            <w:rStyle w:val="Hyperlink"/>
            <w:rFonts w:ascii="Garamond" w:hAnsi="Garamond"/>
            <w:color w:val="auto"/>
            <w:u w:val="none"/>
          </w:rPr>
          <w:tab/>
        </w:r>
        <w:r w:rsidRPr="002058EC">
          <w:rPr>
            <w:rStyle w:val="Hyperlink"/>
            <w:rFonts w:ascii="Garamond" w:hAnsi="Garamond"/>
            <w:color w:val="auto"/>
            <w:u w:val="none"/>
          </w:rPr>
          <w:t>CEB</w:t>
        </w:r>
      </w:hyperlink>
      <w:r w:rsidRPr="00217328">
        <w:rPr>
          <w:rFonts w:ascii="Garamond" w:hAnsi="Garamond"/>
        </w:rPr>
        <w:t xml:space="preserve"> 04-025.RS, Université Libre de Bruxelles, Solvay Business School, Centre Emile </w:t>
      </w:r>
      <w:r w:rsidRPr="00217328">
        <w:rPr>
          <w:rFonts w:ascii="Garamond" w:hAnsi="Garamond"/>
        </w:rPr>
        <w:tab/>
        <w:t>Bernheim (CEB).</w:t>
      </w:r>
    </w:p>
    <w:p w:rsidR="00AC6F2B" w:rsidRPr="00217328" w:rsidRDefault="00AC6F2B" w:rsidP="00AC6F2B">
      <w:pPr>
        <w:autoSpaceDE w:val="0"/>
        <w:autoSpaceDN w:val="0"/>
        <w:adjustRightInd w:val="0"/>
        <w:spacing w:line="360" w:lineRule="auto"/>
        <w:rPr>
          <w:rFonts w:ascii="Garamond" w:hAnsi="Garamond"/>
          <w:i/>
          <w:iCs/>
        </w:rPr>
      </w:pPr>
      <w:r w:rsidRPr="00217328">
        <w:rPr>
          <w:rFonts w:ascii="Garamond" w:hAnsi="Garamond"/>
        </w:rPr>
        <w:t xml:space="preserve">Gelb, Stephen. 2005. South-South Investment: The Case of Africa. In </w:t>
      </w:r>
      <w:r w:rsidRPr="00AA6F60">
        <w:rPr>
          <w:rFonts w:ascii="Garamond" w:hAnsi="Garamond"/>
          <w:iCs/>
        </w:rPr>
        <w:t xml:space="preserve">Africa in the World </w:t>
      </w:r>
      <w:r w:rsidR="002058EC">
        <w:rPr>
          <w:rFonts w:ascii="Garamond" w:hAnsi="Garamond"/>
          <w:iCs/>
        </w:rPr>
        <w:tab/>
      </w:r>
      <w:r w:rsidRPr="00AA6F60">
        <w:rPr>
          <w:rFonts w:ascii="Garamond" w:hAnsi="Garamond"/>
          <w:iCs/>
        </w:rPr>
        <w:t>Economy-The National, Regional and Interna</w:t>
      </w:r>
      <w:r>
        <w:rPr>
          <w:rFonts w:ascii="Garamond" w:hAnsi="Garamond"/>
          <w:iCs/>
        </w:rPr>
        <w:t xml:space="preserve">tional Challenges. Fondad, The </w:t>
      </w:r>
      <w:r w:rsidRPr="00AA6F60">
        <w:rPr>
          <w:rFonts w:ascii="Garamond" w:hAnsi="Garamond"/>
          <w:iCs/>
        </w:rPr>
        <w:t>Hague.</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 xml:space="preserve">Goldberg, L. </w:t>
      </w:r>
      <w:r>
        <w:rPr>
          <w:rFonts w:ascii="Garamond" w:hAnsi="Garamond"/>
        </w:rPr>
        <w:t>(</w:t>
      </w:r>
      <w:r w:rsidRPr="00217328">
        <w:rPr>
          <w:rFonts w:ascii="Garamond" w:hAnsi="Garamond"/>
        </w:rPr>
        <w:t>1997</w:t>
      </w:r>
      <w:r>
        <w:rPr>
          <w:rFonts w:ascii="Garamond" w:hAnsi="Garamond"/>
        </w:rPr>
        <w:t>):</w:t>
      </w:r>
      <w:r w:rsidRPr="00217328">
        <w:rPr>
          <w:rFonts w:ascii="Garamond" w:hAnsi="Garamond"/>
        </w:rPr>
        <w:t xml:space="preserve"> </w:t>
      </w:r>
      <w:r>
        <w:rPr>
          <w:rFonts w:ascii="Garamond" w:hAnsi="Garamond"/>
        </w:rPr>
        <w:t>“Exchange Rates and Investment Response in Latin America”. i</w:t>
      </w:r>
      <w:r w:rsidRPr="00217328">
        <w:rPr>
          <w:rFonts w:ascii="Garamond" w:hAnsi="Garamond"/>
        </w:rPr>
        <w:t xml:space="preserve">n </w:t>
      </w:r>
      <w:r w:rsidR="002058EC">
        <w:rPr>
          <w:rFonts w:ascii="Garamond" w:hAnsi="Garamond"/>
        </w:rPr>
        <w:tab/>
      </w:r>
      <w:r w:rsidRPr="00AA6F60">
        <w:rPr>
          <w:rFonts w:ascii="Garamond" w:hAnsi="Garamond"/>
          <w:iCs/>
        </w:rPr>
        <w:t>International Trade and Finance: New Frontiers for Research: Festschrift in</w:t>
      </w:r>
      <w:r w:rsidRPr="00AA6F60">
        <w:rPr>
          <w:rFonts w:ascii="Garamond" w:hAnsi="Garamond"/>
        </w:rPr>
        <w:t xml:space="preserve"> </w:t>
      </w:r>
      <w:r w:rsidRPr="00AA6F60">
        <w:rPr>
          <w:rFonts w:ascii="Garamond" w:hAnsi="Garamond"/>
          <w:iCs/>
        </w:rPr>
        <w:t xml:space="preserve">Honor </w:t>
      </w:r>
      <w:r w:rsidR="002058EC">
        <w:rPr>
          <w:rFonts w:ascii="Garamond" w:hAnsi="Garamond"/>
          <w:iCs/>
        </w:rPr>
        <w:tab/>
      </w:r>
      <w:r w:rsidRPr="00AA6F60">
        <w:rPr>
          <w:rFonts w:ascii="Garamond" w:hAnsi="Garamond"/>
          <w:iCs/>
        </w:rPr>
        <w:t>o</w:t>
      </w:r>
      <w:r>
        <w:rPr>
          <w:rFonts w:ascii="Garamond" w:hAnsi="Garamond"/>
          <w:iCs/>
        </w:rPr>
        <w:t xml:space="preserve">f </w:t>
      </w:r>
      <w:r w:rsidRPr="00AA6F60">
        <w:rPr>
          <w:rFonts w:ascii="Garamond" w:hAnsi="Garamond"/>
          <w:iCs/>
        </w:rPr>
        <w:t>Peter B. Kenen</w:t>
      </w:r>
      <w:r>
        <w:rPr>
          <w:rFonts w:ascii="Garamond" w:hAnsi="Garamond"/>
          <w:iCs/>
        </w:rPr>
        <w:t>,</w:t>
      </w:r>
      <w:r w:rsidRPr="00217328">
        <w:rPr>
          <w:rFonts w:ascii="Garamond" w:hAnsi="Garamond"/>
          <w:i/>
          <w:iCs/>
        </w:rPr>
        <w:t xml:space="preserve"> </w:t>
      </w:r>
      <w:r w:rsidRPr="00217328">
        <w:rPr>
          <w:rFonts w:ascii="Garamond" w:hAnsi="Garamond"/>
        </w:rPr>
        <w:t>ed</w:t>
      </w:r>
      <w:r>
        <w:rPr>
          <w:rFonts w:ascii="Garamond" w:hAnsi="Garamond"/>
        </w:rPr>
        <w:t xml:space="preserve"> . B. </w:t>
      </w:r>
      <w:r w:rsidRPr="00217328">
        <w:rPr>
          <w:rFonts w:ascii="Garamond" w:hAnsi="Garamond"/>
        </w:rPr>
        <w:t>J.</w:t>
      </w:r>
      <w:r>
        <w:rPr>
          <w:rFonts w:ascii="Garamond" w:hAnsi="Garamond"/>
        </w:rPr>
        <w:t xml:space="preserve"> Cohen,</w:t>
      </w:r>
      <w:r w:rsidRPr="00217328">
        <w:rPr>
          <w:rFonts w:ascii="Garamond" w:hAnsi="Garamond"/>
          <w:i/>
          <w:iCs/>
        </w:rPr>
        <w:t xml:space="preserve"> </w:t>
      </w:r>
      <w:r w:rsidRPr="00217328">
        <w:rPr>
          <w:rFonts w:ascii="Garamond" w:hAnsi="Garamond"/>
        </w:rPr>
        <w:t>Cambridge</w:t>
      </w:r>
      <w:r>
        <w:rPr>
          <w:rFonts w:ascii="Garamond" w:hAnsi="Garamond"/>
        </w:rPr>
        <w:t>:</w:t>
      </w:r>
      <w:r w:rsidRPr="00217328">
        <w:rPr>
          <w:rFonts w:ascii="Garamond" w:hAnsi="Garamond"/>
        </w:rPr>
        <w:t xml:space="preserve"> Cambridge University Press.</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Goldberg, L. and Kolstad</w:t>
      </w:r>
      <w:r>
        <w:rPr>
          <w:rFonts w:ascii="Garamond" w:hAnsi="Garamond"/>
        </w:rPr>
        <w:t xml:space="preserve">, </w:t>
      </w:r>
      <w:r w:rsidRPr="00217328">
        <w:rPr>
          <w:rFonts w:ascii="Garamond" w:hAnsi="Garamond"/>
        </w:rPr>
        <w:t xml:space="preserve">C. </w:t>
      </w:r>
      <w:r>
        <w:rPr>
          <w:rFonts w:ascii="Garamond" w:hAnsi="Garamond"/>
        </w:rPr>
        <w:t>(</w:t>
      </w:r>
      <w:r w:rsidRPr="00217328">
        <w:rPr>
          <w:rFonts w:ascii="Garamond" w:hAnsi="Garamond"/>
        </w:rPr>
        <w:t>1995</w:t>
      </w:r>
      <w:r>
        <w:rPr>
          <w:rFonts w:ascii="Garamond" w:hAnsi="Garamond"/>
        </w:rPr>
        <w:t xml:space="preserve">): “Foreign Direct Investment, Exchange Rate Variability </w:t>
      </w:r>
      <w:r w:rsidR="002058EC">
        <w:rPr>
          <w:rFonts w:ascii="Garamond" w:hAnsi="Garamond"/>
        </w:rPr>
        <w:tab/>
      </w:r>
      <w:r>
        <w:rPr>
          <w:rFonts w:ascii="Garamond" w:hAnsi="Garamond"/>
        </w:rPr>
        <w:t>and Demand U</w:t>
      </w:r>
      <w:r w:rsidRPr="00217328">
        <w:rPr>
          <w:rFonts w:ascii="Garamond" w:hAnsi="Garamond"/>
        </w:rPr>
        <w:t>ncertainty</w:t>
      </w:r>
      <w:r>
        <w:rPr>
          <w:rFonts w:ascii="Garamond" w:hAnsi="Garamond"/>
        </w:rPr>
        <w:t>”</w:t>
      </w:r>
      <w:r w:rsidRPr="00217328">
        <w:rPr>
          <w:rFonts w:ascii="Garamond" w:hAnsi="Garamond"/>
        </w:rPr>
        <w:t xml:space="preserve">, </w:t>
      </w:r>
      <w:r w:rsidRPr="00054F17">
        <w:rPr>
          <w:rFonts w:ascii="Garamond" w:hAnsi="Garamond"/>
          <w:iCs/>
        </w:rPr>
        <w:t>International Economic Review</w:t>
      </w:r>
      <w:r w:rsidRPr="00217328">
        <w:rPr>
          <w:rFonts w:ascii="Garamond" w:hAnsi="Garamond"/>
          <w:i/>
          <w:iCs/>
        </w:rPr>
        <w:t xml:space="preserve">, </w:t>
      </w:r>
      <w:r w:rsidRPr="00217328">
        <w:rPr>
          <w:rFonts w:ascii="Garamond" w:hAnsi="Garamond"/>
        </w:rPr>
        <w:t>36</w:t>
      </w:r>
      <w:r>
        <w:rPr>
          <w:rFonts w:ascii="Garamond" w:hAnsi="Garamond"/>
        </w:rPr>
        <w:t>(</w:t>
      </w:r>
      <w:r w:rsidRPr="00217328">
        <w:rPr>
          <w:rFonts w:ascii="Garamond" w:hAnsi="Garamond"/>
        </w:rPr>
        <w:t>4</w:t>
      </w:r>
      <w:r>
        <w:rPr>
          <w:rFonts w:ascii="Garamond" w:hAnsi="Garamond"/>
        </w:rPr>
        <w:t>)</w:t>
      </w:r>
      <w:r w:rsidRPr="00217328">
        <w:rPr>
          <w:rFonts w:ascii="Garamond" w:hAnsi="Garamond"/>
        </w:rPr>
        <w:t>, pp. 855-873.</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Gorg, H. and Wakelin</w:t>
      </w:r>
      <w:r>
        <w:rPr>
          <w:rFonts w:ascii="Garamond" w:hAnsi="Garamond"/>
        </w:rPr>
        <w:t>, K</w:t>
      </w:r>
      <w:r w:rsidRPr="00217328">
        <w:rPr>
          <w:rFonts w:ascii="Garamond" w:hAnsi="Garamond"/>
        </w:rPr>
        <w:t xml:space="preserve">. </w:t>
      </w:r>
      <w:r>
        <w:rPr>
          <w:rFonts w:ascii="Garamond" w:hAnsi="Garamond"/>
        </w:rPr>
        <w:t>(</w:t>
      </w:r>
      <w:r w:rsidRPr="00217328">
        <w:rPr>
          <w:rFonts w:ascii="Garamond" w:hAnsi="Garamond"/>
        </w:rPr>
        <w:t>2002</w:t>
      </w:r>
      <w:r>
        <w:rPr>
          <w:rFonts w:ascii="Garamond" w:hAnsi="Garamond"/>
        </w:rPr>
        <w:t>): “The I</w:t>
      </w:r>
      <w:r w:rsidRPr="00217328">
        <w:rPr>
          <w:rFonts w:ascii="Garamond" w:hAnsi="Garamond"/>
        </w:rPr>
        <w:t>m</w:t>
      </w:r>
      <w:r>
        <w:rPr>
          <w:rFonts w:ascii="Garamond" w:hAnsi="Garamond"/>
        </w:rPr>
        <w:t xml:space="preserve">pact of Exchange Rate Volatility on US Direct </w:t>
      </w:r>
      <w:r w:rsidR="002058EC">
        <w:rPr>
          <w:rFonts w:ascii="Garamond" w:hAnsi="Garamond"/>
        </w:rPr>
        <w:tab/>
      </w:r>
      <w:r>
        <w:rPr>
          <w:rFonts w:ascii="Garamond" w:hAnsi="Garamond"/>
        </w:rPr>
        <w:t>I</w:t>
      </w:r>
      <w:r w:rsidRPr="00217328">
        <w:rPr>
          <w:rFonts w:ascii="Garamond" w:hAnsi="Garamond"/>
        </w:rPr>
        <w:t xml:space="preserve">nvestment’. </w:t>
      </w:r>
      <w:r w:rsidRPr="00054F17">
        <w:rPr>
          <w:rFonts w:ascii="Garamond" w:hAnsi="Garamond"/>
          <w:iCs/>
        </w:rPr>
        <w:t>Manchester School</w:t>
      </w:r>
      <w:r>
        <w:rPr>
          <w:rFonts w:ascii="Garamond" w:hAnsi="Garamond"/>
          <w:iCs/>
        </w:rPr>
        <w:t xml:space="preserve">, </w:t>
      </w:r>
      <w:r w:rsidRPr="00217328">
        <w:rPr>
          <w:rFonts w:ascii="Garamond" w:hAnsi="Garamond"/>
        </w:rPr>
        <w:t>70, pp. 380-97.</w:t>
      </w:r>
    </w:p>
    <w:p w:rsidR="00AC6F2B" w:rsidRPr="00217328" w:rsidRDefault="00AC6F2B" w:rsidP="00AC6F2B">
      <w:pPr>
        <w:autoSpaceDE w:val="0"/>
        <w:autoSpaceDN w:val="0"/>
        <w:adjustRightInd w:val="0"/>
        <w:spacing w:line="360" w:lineRule="auto"/>
        <w:rPr>
          <w:rFonts w:ascii="Garamond" w:hAnsi="Garamond"/>
        </w:rPr>
      </w:pPr>
      <w:r>
        <w:rPr>
          <w:rFonts w:ascii="Garamond" w:hAnsi="Garamond"/>
        </w:rPr>
        <w:t>Gray, H. P</w:t>
      </w:r>
      <w:r w:rsidRPr="00217328">
        <w:rPr>
          <w:rFonts w:ascii="Garamond" w:hAnsi="Garamond"/>
        </w:rPr>
        <w:t xml:space="preserve">. </w:t>
      </w:r>
      <w:r>
        <w:rPr>
          <w:rFonts w:ascii="Garamond" w:hAnsi="Garamond"/>
        </w:rPr>
        <w:t>(</w:t>
      </w:r>
      <w:r w:rsidRPr="00217328">
        <w:rPr>
          <w:rFonts w:ascii="Garamond" w:hAnsi="Garamond"/>
        </w:rPr>
        <w:t>1966</w:t>
      </w:r>
      <w:r>
        <w:rPr>
          <w:rFonts w:ascii="Garamond" w:hAnsi="Garamond"/>
        </w:rPr>
        <w:t>): “United States Foreign Investment and the Dollar Exchange R</w:t>
      </w:r>
      <w:r w:rsidRPr="00217328">
        <w:rPr>
          <w:rFonts w:ascii="Garamond" w:hAnsi="Garamond"/>
        </w:rPr>
        <w:t xml:space="preserve">ate”. </w:t>
      </w:r>
      <w:r w:rsidR="002058EC">
        <w:rPr>
          <w:rFonts w:ascii="Garamond" w:hAnsi="Garamond"/>
        </w:rPr>
        <w:tab/>
      </w:r>
      <w:r w:rsidRPr="00054F17">
        <w:rPr>
          <w:rFonts w:ascii="Garamond" w:hAnsi="Garamond"/>
        </w:rPr>
        <w:t>Economic Internazionale</w:t>
      </w:r>
      <w:r w:rsidRPr="00217328">
        <w:rPr>
          <w:rFonts w:ascii="Garamond" w:hAnsi="Garamond"/>
        </w:rPr>
        <w:t>, August, pp. 496-502.</w:t>
      </w:r>
    </w:p>
    <w:p w:rsidR="00AC6F2B" w:rsidRPr="00217328" w:rsidRDefault="00AC6F2B" w:rsidP="00AC6F2B">
      <w:pPr>
        <w:autoSpaceDE w:val="0"/>
        <w:autoSpaceDN w:val="0"/>
        <w:adjustRightInd w:val="0"/>
        <w:spacing w:line="360" w:lineRule="auto"/>
        <w:jc w:val="both"/>
        <w:rPr>
          <w:rFonts w:ascii="Garamond" w:hAnsi="Garamond"/>
          <w:sz w:val="23"/>
          <w:szCs w:val="23"/>
        </w:rPr>
      </w:pPr>
      <w:r w:rsidRPr="00217328">
        <w:rPr>
          <w:rFonts w:ascii="Garamond" w:hAnsi="Garamond"/>
          <w:sz w:val="23"/>
          <w:szCs w:val="23"/>
        </w:rPr>
        <w:t>Hau, H. 2002 Real Exchange Rate Volatility and</w:t>
      </w:r>
      <w:r>
        <w:rPr>
          <w:rFonts w:ascii="Garamond" w:hAnsi="Garamond"/>
          <w:sz w:val="23"/>
          <w:szCs w:val="23"/>
        </w:rPr>
        <w:t xml:space="preserve"> Economic Openness: Theory and </w:t>
      </w:r>
      <w:r w:rsidRPr="00217328">
        <w:rPr>
          <w:rFonts w:ascii="Garamond" w:hAnsi="Garamond"/>
          <w:sz w:val="23"/>
          <w:szCs w:val="23"/>
        </w:rPr>
        <w:t xml:space="preserve">Evidence. </w:t>
      </w:r>
      <w:r w:rsidR="002058EC">
        <w:rPr>
          <w:rFonts w:ascii="Garamond" w:hAnsi="Garamond"/>
          <w:sz w:val="23"/>
          <w:szCs w:val="23"/>
        </w:rPr>
        <w:tab/>
      </w:r>
      <w:r w:rsidRPr="00054F17">
        <w:rPr>
          <w:rFonts w:ascii="Garamond" w:hAnsi="Garamond"/>
          <w:iCs/>
          <w:sz w:val="23"/>
          <w:szCs w:val="23"/>
        </w:rPr>
        <w:t>Journal of Money, Credit and Banking</w:t>
      </w:r>
      <w:r w:rsidRPr="00054F17">
        <w:rPr>
          <w:rFonts w:ascii="Garamond" w:hAnsi="Garamond"/>
          <w:sz w:val="23"/>
          <w:szCs w:val="23"/>
        </w:rPr>
        <w:t xml:space="preserve">, </w:t>
      </w:r>
      <w:r>
        <w:rPr>
          <w:rFonts w:ascii="Garamond" w:hAnsi="Garamond"/>
          <w:sz w:val="23"/>
          <w:szCs w:val="23"/>
        </w:rPr>
        <w:t xml:space="preserve">34(3), pp. </w:t>
      </w:r>
      <w:r w:rsidRPr="00217328">
        <w:rPr>
          <w:rFonts w:ascii="Garamond" w:hAnsi="Garamond"/>
          <w:sz w:val="23"/>
          <w:szCs w:val="23"/>
        </w:rPr>
        <w:t xml:space="preserve">611-630. </w:t>
      </w:r>
    </w:p>
    <w:p w:rsidR="00AC6F2B" w:rsidRPr="00217328" w:rsidRDefault="00AC6F2B" w:rsidP="00AC6F2B">
      <w:pPr>
        <w:autoSpaceDE w:val="0"/>
        <w:autoSpaceDN w:val="0"/>
        <w:adjustRightInd w:val="0"/>
        <w:spacing w:line="360" w:lineRule="auto"/>
        <w:jc w:val="both"/>
        <w:rPr>
          <w:rFonts w:ascii="Garamond" w:eastAsia="Calibri" w:hAnsi="Garamond" w:cs="Garamond"/>
          <w:color w:val="000000"/>
        </w:rPr>
      </w:pPr>
      <w:r w:rsidRPr="00217328">
        <w:rPr>
          <w:rFonts w:ascii="Garamond" w:eastAsia="Calibri" w:hAnsi="Garamond" w:cs="Garamond"/>
          <w:color w:val="000000"/>
        </w:rPr>
        <w:t>Hawkins, P and Lockwood</w:t>
      </w:r>
      <w:r>
        <w:rPr>
          <w:rFonts w:ascii="Garamond" w:eastAsia="Calibri" w:hAnsi="Garamond" w:cs="Garamond"/>
          <w:color w:val="000000"/>
        </w:rPr>
        <w:t>,</w:t>
      </w:r>
      <w:r w:rsidRPr="00217328">
        <w:rPr>
          <w:rFonts w:ascii="Garamond" w:eastAsia="Calibri" w:hAnsi="Garamond" w:cs="Garamond"/>
          <w:color w:val="000000"/>
        </w:rPr>
        <w:t xml:space="preserve"> K. </w:t>
      </w:r>
      <w:r>
        <w:rPr>
          <w:rFonts w:ascii="Garamond" w:eastAsia="Calibri" w:hAnsi="Garamond" w:cs="Garamond"/>
          <w:color w:val="000000"/>
        </w:rPr>
        <w:t>(</w:t>
      </w:r>
      <w:r w:rsidRPr="00217328">
        <w:rPr>
          <w:rFonts w:ascii="Garamond" w:eastAsia="Calibri" w:hAnsi="Garamond" w:cs="Garamond"/>
          <w:color w:val="000000"/>
        </w:rPr>
        <w:t>2001</w:t>
      </w:r>
      <w:r>
        <w:rPr>
          <w:rFonts w:ascii="Garamond" w:eastAsia="Calibri" w:hAnsi="Garamond" w:cs="Garamond"/>
          <w:color w:val="000000"/>
        </w:rPr>
        <w:t>):</w:t>
      </w:r>
      <w:r w:rsidRPr="00217328">
        <w:rPr>
          <w:rFonts w:ascii="Garamond" w:eastAsia="Calibri" w:hAnsi="Garamond" w:cs="Garamond"/>
          <w:color w:val="000000"/>
        </w:rPr>
        <w:t xml:space="preserve"> </w:t>
      </w:r>
      <w:r>
        <w:rPr>
          <w:rFonts w:ascii="Garamond" w:eastAsia="Calibri" w:hAnsi="Garamond" w:cs="Garamond"/>
          <w:color w:val="000000"/>
        </w:rPr>
        <w:t>“A Strategy for A</w:t>
      </w:r>
      <w:r w:rsidRPr="00217328">
        <w:rPr>
          <w:rFonts w:ascii="Garamond" w:eastAsia="Calibri" w:hAnsi="Garamond" w:cs="Garamond"/>
          <w:color w:val="000000"/>
        </w:rPr>
        <w:t>ttractin</w:t>
      </w:r>
      <w:r>
        <w:rPr>
          <w:rFonts w:ascii="Garamond" w:eastAsia="Calibri" w:hAnsi="Garamond" w:cs="Garamond"/>
          <w:color w:val="000000"/>
        </w:rPr>
        <w:t xml:space="preserve">g Foreign Direct Investment </w:t>
      </w:r>
      <w:r w:rsidR="002058EC">
        <w:rPr>
          <w:rFonts w:ascii="Garamond" w:eastAsia="Calibri" w:hAnsi="Garamond" w:cs="Garamond"/>
          <w:color w:val="000000"/>
        </w:rPr>
        <w:tab/>
      </w:r>
      <w:r>
        <w:rPr>
          <w:rFonts w:ascii="Garamond" w:eastAsia="Calibri" w:hAnsi="Garamond" w:cs="Garamond"/>
          <w:color w:val="000000"/>
        </w:rPr>
        <w:t xml:space="preserve">in </w:t>
      </w:r>
      <w:r w:rsidRPr="00217328">
        <w:rPr>
          <w:rFonts w:ascii="Garamond" w:eastAsia="Calibri" w:hAnsi="Garamond" w:cs="Garamond"/>
          <w:color w:val="000000"/>
        </w:rPr>
        <w:t>South Africa</w:t>
      </w:r>
      <w:r>
        <w:rPr>
          <w:rFonts w:ascii="Garamond" w:eastAsia="Calibri" w:hAnsi="Garamond" w:cs="Garamond"/>
          <w:color w:val="000000"/>
        </w:rPr>
        <w:t>”,</w:t>
      </w:r>
      <w:r w:rsidRPr="00217328">
        <w:rPr>
          <w:rFonts w:ascii="Garamond" w:eastAsia="Calibri" w:hAnsi="Garamond" w:cs="Garamond"/>
          <w:color w:val="000000"/>
        </w:rPr>
        <w:t xml:space="preserve"> Paper presented at the Economic Socie</w:t>
      </w:r>
      <w:r>
        <w:rPr>
          <w:rFonts w:ascii="Garamond" w:eastAsia="Calibri" w:hAnsi="Garamond" w:cs="Garamond"/>
          <w:color w:val="000000"/>
        </w:rPr>
        <w:t xml:space="preserve">ty of South Africa </w:t>
      </w:r>
      <w:r w:rsidR="002058EC">
        <w:rPr>
          <w:rFonts w:ascii="Garamond" w:eastAsia="Calibri" w:hAnsi="Garamond" w:cs="Garamond"/>
          <w:color w:val="000000"/>
        </w:rPr>
        <w:tab/>
      </w:r>
      <w:r>
        <w:rPr>
          <w:rFonts w:ascii="Garamond" w:eastAsia="Calibri" w:hAnsi="Garamond" w:cs="Garamond"/>
          <w:color w:val="000000"/>
        </w:rPr>
        <w:t xml:space="preserve">Conference, </w:t>
      </w:r>
      <w:r w:rsidRPr="00217328">
        <w:rPr>
          <w:rFonts w:ascii="Garamond" w:eastAsia="Calibri" w:hAnsi="Garamond" w:cs="Garamond"/>
          <w:color w:val="000000"/>
        </w:rPr>
        <w:t xml:space="preserve">Glenburn Lodge, Johannesburg, </w:t>
      </w:r>
      <w:r>
        <w:rPr>
          <w:rFonts w:ascii="Garamond" w:eastAsia="Calibri" w:hAnsi="Garamond" w:cs="Garamond"/>
          <w:color w:val="000000"/>
        </w:rPr>
        <w:t>South Africa</w:t>
      </w:r>
      <w:r w:rsidRPr="00217328">
        <w:rPr>
          <w:rFonts w:ascii="Garamond" w:eastAsia="Calibri" w:hAnsi="Garamond" w:cs="Garamond"/>
          <w:color w:val="000000"/>
        </w:rPr>
        <w:t>.</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 xml:space="preserve">Houthakker, H. S. </w:t>
      </w:r>
      <w:r>
        <w:rPr>
          <w:rFonts w:ascii="Garamond" w:hAnsi="Garamond"/>
        </w:rPr>
        <w:t>(</w:t>
      </w:r>
      <w:r w:rsidRPr="00217328">
        <w:rPr>
          <w:rFonts w:ascii="Garamond" w:hAnsi="Garamond"/>
        </w:rPr>
        <w:t>1962</w:t>
      </w:r>
      <w:r>
        <w:rPr>
          <w:rFonts w:ascii="Garamond" w:hAnsi="Garamond"/>
        </w:rPr>
        <w:t>): “Should We Devalue the D</w:t>
      </w:r>
      <w:r w:rsidRPr="00217328">
        <w:rPr>
          <w:rFonts w:ascii="Garamond" w:hAnsi="Garamond"/>
        </w:rPr>
        <w:t xml:space="preserve">ollar?” </w:t>
      </w:r>
      <w:r w:rsidRPr="00D5359C">
        <w:rPr>
          <w:rFonts w:ascii="Garamond" w:hAnsi="Garamond"/>
        </w:rPr>
        <w:t>Challenge</w:t>
      </w:r>
      <w:r w:rsidRPr="00217328">
        <w:rPr>
          <w:rFonts w:ascii="Garamond" w:hAnsi="Garamond"/>
        </w:rPr>
        <w:t>, October, pp. 12-12.</w:t>
      </w:r>
    </w:p>
    <w:p w:rsidR="00AC6F2B" w:rsidRPr="00D5359C" w:rsidRDefault="00AC6F2B" w:rsidP="00AC6F2B">
      <w:pPr>
        <w:autoSpaceDE w:val="0"/>
        <w:autoSpaceDN w:val="0"/>
        <w:adjustRightInd w:val="0"/>
        <w:spacing w:line="360" w:lineRule="auto"/>
        <w:rPr>
          <w:rFonts w:ascii="Garamond" w:hAnsi="Garamond"/>
        </w:rPr>
      </w:pPr>
      <w:r w:rsidRPr="00D5359C">
        <w:rPr>
          <w:rFonts w:ascii="Garamond" w:hAnsi="Garamond"/>
        </w:rPr>
        <w:t xml:space="preserve">Hviding, K., Nowak, M.  and Ricci, L. A. (2004): </w:t>
      </w:r>
      <w:r>
        <w:rPr>
          <w:rFonts w:ascii="Garamond" w:hAnsi="Garamond"/>
        </w:rPr>
        <w:t>“</w:t>
      </w:r>
      <w:r w:rsidRPr="00D5359C">
        <w:rPr>
          <w:rFonts w:ascii="Garamond" w:hAnsi="Garamond"/>
        </w:rPr>
        <w:t xml:space="preserve">Can Higher Reserves Help Reduce </w:t>
      </w:r>
      <w:r w:rsidR="002058EC">
        <w:rPr>
          <w:rFonts w:ascii="Garamond" w:hAnsi="Garamond"/>
        </w:rPr>
        <w:tab/>
      </w:r>
      <w:r w:rsidRPr="00D5359C">
        <w:rPr>
          <w:rFonts w:ascii="Garamond" w:hAnsi="Garamond"/>
        </w:rPr>
        <w:t>Exchange Rate Volatility?</w:t>
      </w:r>
      <w:r>
        <w:rPr>
          <w:rFonts w:ascii="Garamond" w:hAnsi="Garamond"/>
        </w:rPr>
        <w:t>”,</w:t>
      </w:r>
      <w:r w:rsidRPr="00D5359C">
        <w:rPr>
          <w:rFonts w:ascii="Garamond" w:hAnsi="Garamond"/>
        </w:rPr>
        <w:t xml:space="preserve"> International Monetary Fund Working Paper No.189. </w:t>
      </w:r>
    </w:p>
    <w:p w:rsidR="00AC6F2B" w:rsidRPr="00217328" w:rsidRDefault="00AC6F2B" w:rsidP="00AC6F2B">
      <w:pPr>
        <w:autoSpaceDE w:val="0"/>
        <w:autoSpaceDN w:val="0"/>
        <w:adjustRightInd w:val="0"/>
        <w:spacing w:line="360" w:lineRule="auto"/>
        <w:rPr>
          <w:rFonts w:ascii="Garamond" w:hAnsi="Garamond"/>
        </w:rPr>
      </w:pPr>
      <w:r>
        <w:rPr>
          <w:rFonts w:ascii="Garamond" w:hAnsi="Garamond"/>
        </w:rPr>
        <w:t>Itagaki, T</w:t>
      </w:r>
      <w:r w:rsidRPr="00217328">
        <w:rPr>
          <w:rFonts w:ascii="Garamond" w:hAnsi="Garamond"/>
        </w:rPr>
        <w:t xml:space="preserve">. </w:t>
      </w:r>
      <w:r>
        <w:rPr>
          <w:rFonts w:ascii="Garamond" w:hAnsi="Garamond"/>
        </w:rPr>
        <w:t>(</w:t>
      </w:r>
      <w:r w:rsidRPr="00217328">
        <w:rPr>
          <w:rFonts w:ascii="Garamond" w:hAnsi="Garamond"/>
        </w:rPr>
        <w:t>1981</w:t>
      </w:r>
      <w:r>
        <w:rPr>
          <w:rFonts w:ascii="Garamond" w:hAnsi="Garamond"/>
        </w:rPr>
        <w:t>):</w:t>
      </w:r>
      <w:r w:rsidRPr="00217328">
        <w:rPr>
          <w:rFonts w:ascii="Garamond" w:hAnsi="Garamond"/>
        </w:rPr>
        <w:t xml:space="preserve"> “The theory of the multinat</w:t>
      </w:r>
      <w:r>
        <w:rPr>
          <w:rFonts w:ascii="Garamond" w:hAnsi="Garamond"/>
        </w:rPr>
        <w:t>ional firm under exchange rate U</w:t>
      </w:r>
      <w:r w:rsidRPr="00217328">
        <w:rPr>
          <w:rFonts w:ascii="Garamond" w:hAnsi="Garamond"/>
        </w:rPr>
        <w:t xml:space="preserve">ncertainty”. </w:t>
      </w:r>
      <w:r w:rsidR="002058EC">
        <w:rPr>
          <w:rFonts w:ascii="Garamond" w:hAnsi="Garamond"/>
        </w:rPr>
        <w:tab/>
      </w:r>
      <w:r w:rsidRPr="00D5359C">
        <w:rPr>
          <w:rFonts w:ascii="Garamond" w:hAnsi="Garamond"/>
          <w:iCs/>
        </w:rPr>
        <w:t>The Canadian Journal of Economics</w:t>
      </w:r>
      <w:r w:rsidRPr="00D5359C">
        <w:rPr>
          <w:rFonts w:ascii="Garamond" w:hAnsi="Garamond"/>
        </w:rPr>
        <w:t xml:space="preserve">, </w:t>
      </w:r>
      <w:r w:rsidRPr="00217328">
        <w:rPr>
          <w:rFonts w:ascii="Garamond" w:hAnsi="Garamond"/>
        </w:rPr>
        <w:t>14</w:t>
      </w:r>
      <w:r>
        <w:rPr>
          <w:rFonts w:ascii="Garamond" w:hAnsi="Garamond"/>
        </w:rPr>
        <w:t>(</w:t>
      </w:r>
      <w:r w:rsidRPr="00217328">
        <w:rPr>
          <w:rFonts w:ascii="Garamond" w:hAnsi="Garamond"/>
        </w:rPr>
        <w:t>2</w:t>
      </w:r>
      <w:r>
        <w:rPr>
          <w:rFonts w:ascii="Garamond" w:hAnsi="Garamond"/>
        </w:rPr>
        <w:t>)</w:t>
      </w:r>
      <w:r w:rsidRPr="00217328">
        <w:rPr>
          <w:rFonts w:ascii="Garamond" w:hAnsi="Garamond"/>
        </w:rPr>
        <w:t>, pp. 276–97.</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 xml:space="preserve">Jenkins, C. and Lynne Thomas. 2002. “Foreign direct </w:t>
      </w:r>
      <w:r>
        <w:rPr>
          <w:rFonts w:ascii="Garamond" w:hAnsi="Garamond"/>
        </w:rPr>
        <w:t xml:space="preserve">investment in Southern Africa: </w:t>
      </w:r>
      <w:r w:rsidR="002058EC">
        <w:rPr>
          <w:rFonts w:ascii="Garamond" w:hAnsi="Garamond"/>
        </w:rPr>
        <w:tab/>
      </w:r>
      <w:r>
        <w:rPr>
          <w:rFonts w:ascii="Garamond" w:hAnsi="Garamond"/>
        </w:rPr>
        <w:t xml:space="preserve">Determinants, </w:t>
      </w:r>
      <w:r>
        <w:rPr>
          <w:rFonts w:ascii="Garamond" w:hAnsi="Garamond"/>
        </w:rPr>
        <w:tab/>
        <w:t xml:space="preserve">Characteristics and Implications for Economic Growth and Poverty </w:t>
      </w:r>
      <w:r w:rsidR="002058EC">
        <w:rPr>
          <w:rFonts w:ascii="Garamond" w:hAnsi="Garamond"/>
        </w:rPr>
        <w:tab/>
      </w:r>
      <w:r>
        <w:rPr>
          <w:rFonts w:ascii="Garamond" w:hAnsi="Garamond"/>
        </w:rPr>
        <w:t>A</w:t>
      </w:r>
      <w:r w:rsidRPr="00217328">
        <w:rPr>
          <w:rFonts w:ascii="Garamond" w:hAnsi="Garamond"/>
        </w:rPr>
        <w:t>lleviation”. A Research on Globalisation and Poverty funded by DFID.</w:t>
      </w:r>
    </w:p>
    <w:p w:rsidR="00AC6F2B" w:rsidRPr="00217328" w:rsidRDefault="00AC6F2B" w:rsidP="00AC6F2B">
      <w:pPr>
        <w:autoSpaceDE w:val="0"/>
        <w:autoSpaceDN w:val="0"/>
        <w:adjustRightInd w:val="0"/>
        <w:spacing w:line="360" w:lineRule="auto"/>
        <w:rPr>
          <w:rFonts w:ascii="Garamond" w:eastAsia="Times New Roman" w:hAnsi="Garamond" w:cs="cmr10"/>
        </w:rPr>
      </w:pPr>
      <w:r w:rsidRPr="00217328">
        <w:rPr>
          <w:rFonts w:ascii="Garamond" w:eastAsia="Times New Roman" w:hAnsi="Garamond" w:cs="cmr10"/>
        </w:rPr>
        <w:t xml:space="preserve">Kamaly, A. </w:t>
      </w:r>
      <w:r>
        <w:rPr>
          <w:rFonts w:ascii="Garamond" w:eastAsia="Times New Roman" w:hAnsi="Garamond" w:cs="cmr10"/>
        </w:rPr>
        <w:t>(</w:t>
      </w:r>
      <w:r w:rsidRPr="00217328">
        <w:rPr>
          <w:rFonts w:ascii="Garamond" w:eastAsia="Times New Roman" w:hAnsi="Garamond" w:cs="cmr10"/>
        </w:rPr>
        <w:t>2001</w:t>
      </w:r>
      <w:r>
        <w:rPr>
          <w:rFonts w:ascii="Garamond" w:eastAsia="Times New Roman" w:hAnsi="Garamond" w:cs="cmr10"/>
        </w:rPr>
        <w:t>):</w:t>
      </w:r>
      <w:r w:rsidRPr="00217328">
        <w:rPr>
          <w:rFonts w:ascii="Garamond" w:eastAsia="Times New Roman" w:hAnsi="Garamond" w:cs="cmr10"/>
        </w:rPr>
        <w:t xml:space="preserve"> </w:t>
      </w:r>
      <w:r>
        <w:rPr>
          <w:rFonts w:ascii="Garamond" w:eastAsia="Times New Roman" w:hAnsi="Garamond" w:cs="cmr10"/>
        </w:rPr>
        <w:t>“</w:t>
      </w:r>
      <w:r w:rsidRPr="00217328">
        <w:rPr>
          <w:rFonts w:ascii="Garamond" w:eastAsia="Times New Roman" w:hAnsi="Garamond" w:cs="cmr10"/>
        </w:rPr>
        <w:t xml:space="preserve">Behind the Surge in FDI to Developing Countries in the </w:t>
      </w:r>
      <w:r>
        <w:rPr>
          <w:rFonts w:ascii="Garamond" w:eastAsia="Times New Roman" w:hAnsi="Garamond" w:cs="cmr10"/>
        </w:rPr>
        <w:t xml:space="preserve">1990s: An </w:t>
      </w:r>
      <w:r w:rsidR="002058EC">
        <w:rPr>
          <w:rFonts w:ascii="Garamond" w:eastAsia="Times New Roman" w:hAnsi="Garamond" w:cs="cmr10"/>
        </w:rPr>
        <w:tab/>
      </w:r>
      <w:r w:rsidRPr="00217328">
        <w:rPr>
          <w:rFonts w:ascii="Garamond" w:eastAsia="Times New Roman" w:hAnsi="Garamond" w:cs="cmr10"/>
        </w:rPr>
        <w:t>Empirical Investigation”, mimeo, University of Maryland, College Park.</w:t>
      </w:r>
    </w:p>
    <w:p w:rsidR="00AC6F2B" w:rsidRPr="00217328" w:rsidRDefault="00AC6F2B" w:rsidP="00AC6F2B">
      <w:pPr>
        <w:spacing w:line="360" w:lineRule="auto"/>
        <w:ind w:right="-360"/>
        <w:rPr>
          <w:rFonts w:ascii="Garamond" w:hAnsi="Garamond"/>
        </w:rPr>
      </w:pPr>
      <w:r w:rsidRPr="00217328">
        <w:rPr>
          <w:rFonts w:ascii="Garamond" w:hAnsi="Garamond"/>
        </w:rPr>
        <w:lastRenderedPageBreak/>
        <w:t>Khan, S. and Bamou</w:t>
      </w:r>
      <w:r>
        <w:rPr>
          <w:rFonts w:ascii="Garamond" w:hAnsi="Garamond"/>
        </w:rPr>
        <w:t>, L</w:t>
      </w:r>
      <w:r w:rsidRPr="00217328">
        <w:rPr>
          <w:rFonts w:ascii="Garamond" w:hAnsi="Garamond"/>
        </w:rPr>
        <w:t xml:space="preserve">. </w:t>
      </w:r>
      <w:r>
        <w:rPr>
          <w:rFonts w:ascii="Garamond" w:hAnsi="Garamond"/>
        </w:rPr>
        <w:t>(</w:t>
      </w:r>
      <w:r w:rsidRPr="00217328">
        <w:rPr>
          <w:rFonts w:ascii="Garamond" w:hAnsi="Garamond"/>
        </w:rPr>
        <w:t>2005</w:t>
      </w:r>
      <w:r>
        <w:rPr>
          <w:rFonts w:ascii="Garamond" w:hAnsi="Garamond"/>
        </w:rPr>
        <w:t xml:space="preserve">): “An Analysis of Foreign Direct Investment Flows to </w:t>
      </w:r>
      <w:r w:rsidR="002058EC">
        <w:rPr>
          <w:rFonts w:ascii="Garamond" w:hAnsi="Garamond"/>
        </w:rPr>
        <w:tab/>
      </w:r>
      <w:r w:rsidRPr="00217328">
        <w:rPr>
          <w:rFonts w:ascii="Garamond" w:hAnsi="Garamond"/>
        </w:rPr>
        <w:t xml:space="preserve">Cameroon”. A </w:t>
      </w:r>
      <w:r w:rsidRPr="00217328">
        <w:rPr>
          <w:rFonts w:ascii="Garamond" w:hAnsi="Garamond"/>
        </w:rPr>
        <w:tab/>
        <w:t xml:space="preserve">Report </w:t>
      </w:r>
      <w:r w:rsidRPr="00217328">
        <w:rPr>
          <w:rFonts w:ascii="Garamond" w:hAnsi="Garamond"/>
        </w:rPr>
        <w:tab/>
        <w:t>presented at the AERC/IMF Speci</w:t>
      </w:r>
      <w:r>
        <w:rPr>
          <w:rFonts w:ascii="Garamond" w:hAnsi="Garamond"/>
        </w:rPr>
        <w:t xml:space="preserve">al Workshop on Foreign </w:t>
      </w:r>
      <w:r>
        <w:rPr>
          <w:rFonts w:ascii="Garamond" w:hAnsi="Garamond"/>
        </w:rPr>
        <w:tab/>
        <w:t xml:space="preserve">Direct </w:t>
      </w:r>
      <w:r w:rsidRPr="00217328">
        <w:rPr>
          <w:rFonts w:ascii="Garamond" w:hAnsi="Garamond"/>
        </w:rPr>
        <w:t>Investmen</w:t>
      </w:r>
      <w:r>
        <w:rPr>
          <w:rFonts w:ascii="Garamond" w:hAnsi="Garamond"/>
        </w:rPr>
        <w:t xml:space="preserve">t </w:t>
      </w:r>
      <w:r w:rsidRPr="00217328">
        <w:rPr>
          <w:rFonts w:ascii="Garamond" w:hAnsi="Garamond"/>
        </w:rPr>
        <w:t xml:space="preserve">in Africa. </w:t>
      </w:r>
    </w:p>
    <w:p w:rsidR="00AC6F2B" w:rsidRPr="002058EC" w:rsidRDefault="00AC6F2B" w:rsidP="00AC6F2B">
      <w:pPr>
        <w:autoSpaceDE w:val="0"/>
        <w:autoSpaceDN w:val="0"/>
        <w:adjustRightInd w:val="0"/>
        <w:spacing w:line="360" w:lineRule="auto"/>
        <w:rPr>
          <w:rFonts w:ascii="Garamond" w:hAnsi="Garamond"/>
        </w:rPr>
      </w:pPr>
      <w:r w:rsidRPr="002058EC">
        <w:rPr>
          <w:rStyle w:val="Strong"/>
          <w:rFonts w:ascii="Garamond" w:hAnsi="Garamond" w:cs="Arial"/>
          <w:b w:val="0"/>
        </w:rPr>
        <w:t xml:space="preserve">Kiyota, Kozo and Shujiro Urata. 2004. “Exchange Rate, Exchange Rate Volatility and </w:t>
      </w:r>
      <w:r w:rsidR="002058EC">
        <w:rPr>
          <w:rStyle w:val="Strong"/>
          <w:rFonts w:ascii="Garamond" w:hAnsi="Garamond" w:cs="Arial"/>
          <w:b w:val="0"/>
        </w:rPr>
        <w:tab/>
      </w:r>
      <w:r w:rsidRPr="002058EC">
        <w:rPr>
          <w:rStyle w:val="Strong"/>
          <w:rFonts w:ascii="Garamond" w:hAnsi="Garamond" w:cs="Arial"/>
          <w:b w:val="0"/>
        </w:rPr>
        <w:t xml:space="preserve">Foreign Direct Investment”. </w:t>
      </w:r>
      <w:r w:rsidRPr="002058EC">
        <w:rPr>
          <w:rFonts w:ascii="Garamond" w:hAnsi="Garamond" w:cs="Arial"/>
          <w:iCs/>
        </w:rPr>
        <w:t>The World Economy,</w:t>
      </w:r>
      <w:r w:rsidRPr="002058EC">
        <w:rPr>
          <w:rFonts w:ascii="Garamond" w:hAnsi="Garamond" w:cs="Arial"/>
          <w:i/>
          <w:iCs/>
        </w:rPr>
        <w:t xml:space="preserve"> </w:t>
      </w:r>
      <w:r w:rsidRPr="002058EC">
        <w:rPr>
          <w:rFonts w:ascii="Garamond" w:hAnsi="Garamond" w:cs="Arial"/>
          <w:iCs/>
        </w:rPr>
        <w:t xml:space="preserve"> 27(10), pp. 1501-1536.</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 xml:space="preserve">Kohlhagen, S. </w:t>
      </w:r>
      <w:r>
        <w:rPr>
          <w:rFonts w:ascii="Garamond" w:hAnsi="Garamond"/>
        </w:rPr>
        <w:t>(</w:t>
      </w:r>
      <w:r w:rsidRPr="00217328">
        <w:rPr>
          <w:rFonts w:ascii="Garamond" w:hAnsi="Garamond"/>
        </w:rPr>
        <w:t>1977</w:t>
      </w:r>
      <w:r>
        <w:rPr>
          <w:rFonts w:ascii="Garamond" w:hAnsi="Garamond"/>
        </w:rPr>
        <w:t xml:space="preserve">): “Exchange Rate Changes, Profitability and Direct Foreign </w:t>
      </w:r>
      <w:r w:rsidR="002058EC">
        <w:rPr>
          <w:rFonts w:ascii="Garamond" w:hAnsi="Garamond"/>
        </w:rPr>
        <w:tab/>
      </w:r>
      <w:r>
        <w:rPr>
          <w:rFonts w:ascii="Garamond" w:hAnsi="Garamond"/>
        </w:rPr>
        <w:t>I</w:t>
      </w:r>
      <w:r w:rsidRPr="00217328">
        <w:rPr>
          <w:rFonts w:ascii="Garamond" w:hAnsi="Garamond"/>
        </w:rPr>
        <w:t xml:space="preserve">nvestment”. </w:t>
      </w:r>
      <w:r w:rsidRPr="00217328">
        <w:rPr>
          <w:rFonts w:ascii="Garamond" w:hAnsi="Garamond"/>
        </w:rPr>
        <w:tab/>
      </w:r>
      <w:r w:rsidRPr="00D5359C">
        <w:rPr>
          <w:rFonts w:ascii="Garamond" w:hAnsi="Garamond"/>
        </w:rPr>
        <w:t>Southern Economic Journal</w:t>
      </w:r>
      <w:r w:rsidRPr="00217328">
        <w:rPr>
          <w:rFonts w:ascii="Garamond" w:hAnsi="Garamond"/>
        </w:rPr>
        <w:t>, 44, pp. 43-52.</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Mowatt, R</w:t>
      </w:r>
      <w:r>
        <w:rPr>
          <w:rFonts w:ascii="Garamond" w:hAnsi="Garamond"/>
        </w:rPr>
        <w:t xml:space="preserve">. and </w:t>
      </w:r>
      <w:r w:rsidRPr="00217328">
        <w:rPr>
          <w:rFonts w:ascii="Garamond" w:hAnsi="Garamond"/>
        </w:rPr>
        <w:t>Zulu</w:t>
      </w:r>
      <w:r>
        <w:rPr>
          <w:rFonts w:ascii="Garamond" w:hAnsi="Garamond"/>
        </w:rPr>
        <w:t>, T</w:t>
      </w:r>
      <w:r w:rsidRPr="00217328">
        <w:rPr>
          <w:rFonts w:ascii="Garamond" w:hAnsi="Garamond"/>
        </w:rPr>
        <w:t xml:space="preserve">. </w:t>
      </w:r>
      <w:r>
        <w:rPr>
          <w:rFonts w:ascii="Garamond" w:hAnsi="Garamond"/>
        </w:rPr>
        <w:t>(</w:t>
      </w:r>
      <w:r w:rsidRPr="00217328">
        <w:rPr>
          <w:rFonts w:ascii="Garamond" w:hAnsi="Garamond"/>
        </w:rPr>
        <w:t>1999</w:t>
      </w:r>
      <w:r>
        <w:rPr>
          <w:rFonts w:ascii="Garamond" w:hAnsi="Garamond"/>
        </w:rPr>
        <w:t>): “Intra-regional Private C</w:t>
      </w:r>
      <w:r w:rsidRPr="00217328">
        <w:rPr>
          <w:rFonts w:ascii="Garamond" w:hAnsi="Garamond"/>
        </w:rPr>
        <w:t>apital</w:t>
      </w:r>
      <w:r>
        <w:rPr>
          <w:rFonts w:ascii="Garamond" w:hAnsi="Garamond"/>
        </w:rPr>
        <w:t xml:space="preserve"> Flows in Eastern and </w:t>
      </w:r>
      <w:r w:rsidR="002058EC">
        <w:rPr>
          <w:rFonts w:ascii="Garamond" w:hAnsi="Garamond"/>
        </w:rPr>
        <w:tab/>
      </w:r>
      <w:r>
        <w:rPr>
          <w:rFonts w:ascii="Garamond" w:hAnsi="Garamond"/>
        </w:rPr>
        <w:t>Southern Africa: A Study of South African I</w:t>
      </w:r>
      <w:r w:rsidRPr="00217328">
        <w:rPr>
          <w:rFonts w:ascii="Garamond" w:hAnsi="Garamond"/>
        </w:rPr>
        <w:t>nvestment in the</w:t>
      </w:r>
      <w:r>
        <w:rPr>
          <w:rFonts w:ascii="Garamond" w:hAnsi="Garamond"/>
        </w:rPr>
        <w:t xml:space="preserve"> Region”. Paper </w:t>
      </w:r>
      <w:r w:rsidR="002058EC">
        <w:rPr>
          <w:rFonts w:ascii="Garamond" w:hAnsi="Garamond"/>
        </w:rPr>
        <w:tab/>
      </w:r>
      <w:r>
        <w:rPr>
          <w:rFonts w:ascii="Garamond" w:hAnsi="Garamond"/>
        </w:rPr>
        <w:t xml:space="preserve">presented at a </w:t>
      </w:r>
      <w:r w:rsidRPr="00217328">
        <w:rPr>
          <w:rFonts w:ascii="Garamond" w:hAnsi="Garamond"/>
        </w:rPr>
        <w:t xml:space="preserve">CREFSA/DFI workshop on </w:t>
      </w:r>
      <w:r w:rsidRPr="00D5359C">
        <w:rPr>
          <w:rFonts w:ascii="Garamond" w:hAnsi="Garamond"/>
          <w:iCs/>
        </w:rPr>
        <w:t>Intra-regional Private Capital</w:t>
      </w:r>
      <w:r>
        <w:rPr>
          <w:rFonts w:ascii="Garamond" w:hAnsi="Garamond"/>
          <w:iCs/>
        </w:rPr>
        <w:t xml:space="preserve"> Flows in </w:t>
      </w:r>
      <w:r w:rsidR="002058EC">
        <w:rPr>
          <w:rFonts w:ascii="Garamond" w:hAnsi="Garamond"/>
          <w:iCs/>
        </w:rPr>
        <w:tab/>
      </w:r>
      <w:r>
        <w:rPr>
          <w:rFonts w:ascii="Garamond" w:hAnsi="Garamond"/>
          <w:iCs/>
        </w:rPr>
        <w:t xml:space="preserve">Eastern and Southern </w:t>
      </w:r>
      <w:r w:rsidRPr="00D5359C">
        <w:rPr>
          <w:rFonts w:ascii="Garamond" w:hAnsi="Garamond"/>
          <w:iCs/>
        </w:rPr>
        <w:t>Africa</w:t>
      </w:r>
      <w:r w:rsidRPr="00D5359C">
        <w:rPr>
          <w:rFonts w:ascii="Garamond" w:hAnsi="Garamond"/>
        </w:rPr>
        <w:t>,</w:t>
      </w:r>
      <w:r w:rsidRPr="00217328">
        <w:rPr>
          <w:rFonts w:ascii="Garamond" w:hAnsi="Garamond"/>
        </w:rPr>
        <w:t xml:space="preserve"> Harare.</w:t>
      </w:r>
    </w:p>
    <w:p w:rsidR="00AC6F2B" w:rsidRPr="00217328" w:rsidRDefault="00AC6F2B" w:rsidP="00AC6F2B">
      <w:pPr>
        <w:autoSpaceDE w:val="0"/>
        <w:autoSpaceDN w:val="0"/>
        <w:adjustRightInd w:val="0"/>
        <w:spacing w:line="360" w:lineRule="auto"/>
        <w:rPr>
          <w:rFonts w:ascii="Garamond" w:hAnsi="Garamond"/>
        </w:rPr>
      </w:pPr>
      <w:r>
        <w:rPr>
          <w:rFonts w:ascii="Garamond" w:hAnsi="Garamond"/>
        </w:rPr>
        <w:t xml:space="preserve">Mwega, F. M. and </w:t>
      </w:r>
      <w:r w:rsidRPr="00217328">
        <w:rPr>
          <w:rFonts w:ascii="Garamond" w:hAnsi="Garamond"/>
        </w:rPr>
        <w:t>Ngugi</w:t>
      </w:r>
      <w:r>
        <w:rPr>
          <w:rFonts w:ascii="Garamond" w:hAnsi="Garamond"/>
        </w:rPr>
        <w:t>, R.W</w:t>
      </w:r>
      <w:r w:rsidRPr="00217328">
        <w:rPr>
          <w:rFonts w:ascii="Garamond" w:hAnsi="Garamond"/>
        </w:rPr>
        <w:t xml:space="preserve">. </w:t>
      </w:r>
      <w:r>
        <w:rPr>
          <w:rFonts w:ascii="Garamond" w:hAnsi="Garamond"/>
        </w:rPr>
        <w:t>(</w:t>
      </w:r>
      <w:r w:rsidRPr="00217328">
        <w:rPr>
          <w:rFonts w:ascii="Garamond" w:hAnsi="Garamond"/>
        </w:rPr>
        <w:t>2005</w:t>
      </w:r>
      <w:r>
        <w:rPr>
          <w:rFonts w:ascii="Garamond" w:hAnsi="Garamond"/>
        </w:rPr>
        <w:t>): “Foreign D</w:t>
      </w:r>
      <w:r w:rsidRPr="00217328">
        <w:rPr>
          <w:rFonts w:ascii="Garamond" w:hAnsi="Garamond"/>
        </w:rPr>
        <w:t>irect</w:t>
      </w:r>
      <w:r>
        <w:rPr>
          <w:rFonts w:ascii="Garamond" w:hAnsi="Garamond"/>
        </w:rPr>
        <w:t xml:space="preserve"> Investment in Kenya”. A Final </w:t>
      </w:r>
      <w:r w:rsidR="002058EC">
        <w:rPr>
          <w:rFonts w:ascii="Garamond" w:hAnsi="Garamond"/>
        </w:rPr>
        <w:tab/>
      </w:r>
      <w:r w:rsidRPr="00217328">
        <w:rPr>
          <w:rFonts w:ascii="Garamond" w:hAnsi="Garamond"/>
        </w:rPr>
        <w:t xml:space="preserve">Report </w:t>
      </w:r>
      <w:r w:rsidRPr="00217328">
        <w:rPr>
          <w:rFonts w:ascii="Garamond" w:hAnsi="Garamond"/>
        </w:rPr>
        <w:tab/>
        <w:t>submitted to the African Research Economic</w:t>
      </w:r>
      <w:r>
        <w:rPr>
          <w:rFonts w:ascii="Garamond" w:hAnsi="Garamond"/>
        </w:rPr>
        <w:t xml:space="preserve"> Research Consortium, Nairobi, </w:t>
      </w:r>
      <w:r w:rsidR="002058EC">
        <w:rPr>
          <w:rFonts w:ascii="Garamond" w:hAnsi="Garamond"/>
        </w:rPr>
        <w:tab/>
      </w:r>
      <w:r w:rsidRPr="00217328">
        <w:rPr>
          <w:rFonts w:ascii="Garamond" w:hAnsi="Garamond"/>
        </w:rPr>
        <w:t>Kenya.</w:t>
      </w:r>
    </w:p>
    <w:p w:rsidR="00AC6F2B" w:rsidRPr="00217328" w:rsidRDefault="00AC6F2B" w:rsidP="00AC6F2B">
      <w:pPr>
        <w:widowControl w:val="0"/>
        <w:autoSpaceDE w:val="0"/>
        <w:autoSpaceDN w:val="0"/>
        <w:adjustRightInd w:val="0"/>
        <w:spacing w:line="360" w:lineRule="auto"/>
        <w:rPr>
          <w:rFonts w:ascii="Garamond" w:hAnsi="Garamond"/>
        </w:rPr>
      </w:pPr>
      <w:r>
        <w:rPr>
          <w:rFonts w:ascii="Garamond" w:hAnsi="Garamond"/>
        </w:rPr>
        <w:t>Ogunleye, E.</w:t>
      </w:r>
      <w:r w:rsidRPr="00217328">
        <w:rPr>
          <w:rFonts w:ascii="Garamond" w:hAnsi="Garamond"/>
        </w:rPr>
        <w:t xml:space="preserve"> K. </w:t>
      </w:r>
      <w:r>
        <w:rPr>
          <w:rFonts w:ascii="Garamond" w:hAnsi="Garamond"/>
        </w:rPr>
        <w:t>(</w:t>
      </w:r>
      <w:r w:rsidRPr="00217328">
        <w:rPr>
          <w:rFonts w:ascii="Garamond" w:hAnsi="Garamond"/>
        </w:rPr>
        <w:t>2008</w:t>
      </w:r>
      <w:r>
        <w:rPr>
          <w:rFonts w:ascii="Garamond" w:hAnsi="Garamond"/>
        </w:rPr>
        <w:t>):</w:t>
      </w:r>
      <w:r w:rsidRPr="00217328">
        <w:rPr>
          <w:rFonts w:ascii="Garamond" w:hAnsi="Garamond"/>
        </w:rPr>
        <w:t xml:space="preserve"> Exchange Rate Volatility and Foreig</w:t>
      </w:r>
      <w:r>
        <w:rPr>
          <w:rFonts w:ascii="Garamond" w:hAnsi="Garamond"/>
        </w:rPr>
        <w:t xml:space="preserve">n Direct Investment Inflows in </w:t>
      </w:r>
      <w:r w:rsidR="002058EC">
        <w:rPr>
          <w:rFonts w:ascii="Garamond" w:hAnsi="Garamond"/>
        </w:rPr>
        <w:tab/>
      </w:r>
      <w:r w:rsidRPr="00217328">
        <w:rPr>
          <w:rFonts w:ascii="Garamond" w:hAnsi="Garamond"/>
        </w:rPr>
        <w:t>Selected Sub-Sahara African Countries, 1970-2005. P</w:t>
      </w:r>
      <w:r>
        <w:rPr>
          <w:rFonts w:ascii="Garamond" w:hAnsi="Garamond"/>
        </w:rPr>
        <w:t xml:space="preserve">hD Thesis in the Department </w:t>
      </w:r>
      <w:r w:rsidR="002058EC">
        <w:rPr>
          <w:rFonts w:ascii="Garamond" w:hAnsi="Garamond"/>
        </w:rPr>
        <w:tab/>
      </w:r>
      <w:r>
        <w:rPr>
          <w:rFonts w:ascii="Garamond" w:hAnsi="Garamond"/>
        </w:rPr>
        <w:t xml:space="preserve">of </w:t>
      </w:r>
      <w:r w:rsidRPr="00217328">
        <w:rPr>
          <w:rFonts w:ascii="Garamond" w:hAnsi="Garamond"/>
        </w:rPr>
        <w:t>Economics</w:t>
      </w:r>
      <w:r>
        <w:rPr>
          <w:rFonts w:ascii="Garamond" w:hAnsi="Garamond"/>
        </w:rPr>
        <w:t>,</w:t>
      </w:r>
      <w:r w:rsidRPr="00217328">
        <w:rPr>
          <w:rFonts w:ascii="Garamond" w:hAnsi="Garamond"/>
        </w:rPr>
        <w:t xml:space="preserve"> University of Ibadan</w:t>
      </w:r>
    </w:p>
    <w:p w:rsidR="00AC6F2B" w:rsidRPr="00217328" w:rsidRDefault="00AC6F2B" w:rsidP="00AC6F2B">
      <w:pPr>
        <w:autoSpaceDE w:val="0"/>
        <w:autoSpaceDN w:val="0"/>
        <w:adjustRightInd w:val="0"/>
        <w:spacing w:line="360" w:lineRule="auto"/>
        <w:rPr>
          <w:rFonts w:ascii="Garamond" w:hAnsi="Garamond"/>
        </w:rPr>
      </w:pPr>
      <w:r>
        <w:rPr>
          <w:rFonts w:ascii="Garamond" w:hAnsi="Garamond"/>
        </w:rPr>
        <w:t>Page, S.</w:t>
      </w:r>
      <w:r w:rsidRPr="00217328">
        <w:rPr>
          <w:rFonts w:ascii="Garamond" w:hAnsi="Garamond"/>
        </w:rPr>
        <w:t xml:space="preserve"> and Willem te Velde</w:t>
      </w:r>
      <w:r>
        <w:rPr>
          <w:rFonts w:ascii="Garamond" w:hAnsi="Garamond"/>
        </w:rPr>
        <w:t>, D</w:t>
      </w:r>
      <w:r w:rsidRPr="00217328">
        <w:rPr>
          <w:rFonts w:ascii="Garamond" w:hAnsi="Garamond"/>
        </w:rPr>
        <w:t>.</w:t>
      </w:r>
      <w:r>
        <w:rPr>
          <w:rFonts w:ascii="Garamond" w:hAnsi="Garamond"/>
        </w:rPr>
        <w:t xml:space="preserve"> (</w:t>
      </w:r>
      <w:r w:rsidRPr="00217328">
        <w:rPr>
          <w:rFonts w:ascii="Garamond" w:hAnsi="Garamond"/>
        </w:rPr>
        <w:t>2004</w:t>
      </w:r>
      <w:r>
        <w:rPr>
          <w:rFonts w:ascii="Garamond" w:hAnsi="Garamond"/>
        </w:rPr>
        <w:t>):</w:t>
      </w:r>
      <w:r w:rsidRPr="00217328">
        <w:rPr>
          <w:rFonts w:ascii="Garamond" w:hAnsi="Garamond"/>
        </w:rPr>
        <w:t xml:space="preserve"> </w:t>
      </w:r>
      <w:r w:rsidRPr="00217328">
        <w:rPr>
          <w:rFonts w:ascii="Garamond" w:hAnsi="Garamond"/>
          <w:bCs/>
        </w:rPr>
        <w:t>Foreig</w:t>
      </w:r>
      <w:r>
        <w:rPr>
          <w:rFonts w:ascii="Garamond" w:hAnsi="Garamond"/>
          <w:bCs/>
        </w:rPr>
        <w:t xml:space="preserve">n Direct Investment by African </w:t>
      </w:r>
      <w:r w:rsidRPr="00217328">
        <w:rPr>
          <w:rFonts w:ascii="Garamond" w:hAnsi="Garamond"/>
          <w:bCs/>
        </w:rPr>
        <w:t xml:space="preserve">Countries. </w:t>
      </w:r>
      <w:r w:rsidR="002058EC">
        <w:rPr>
          <w:rFonts w:ascii="Garamond" w:hAnsi="Garamond"/>
          <w:bCs/>
        </w:rPr>
        <w:tab/>
      </w:r>
      <w:r w:rsidRPr="00217328">
        <w:rPr>
          <w:rFonts w:ascii="Garamond" w:hAnsi="Garamond"/>
        </w:rPr>
        <w:t>Pape</w:t>
      </w:r>
      <w:r>
        <w:rPr>
          <w:rFonts w:ascii="Garamond" w:hAnsi="Garamond"/>
        </w:rPr>
        <w:t>r prepared for InWent / UNCTAD M</w:t>
      </w:r>
      <w:r w:rsidRPr="00217328">
        <w:rPr>
          <w:rFonts w:ascii="Garamond" w:hAnsi="Garamond"/>
        </w:rPr>
        <w:t>eeting on FDI in Africa,</w:t>
      </w:r>
      <w:r w:rsidRPr="00217328">
        <w:rPr>
          <w:rFonts w:ascii="Garamond" w:hAnsi="Garamond"/>
          <w:bCs/>
        </w:rPr>
        <w:t xml:space="preserve"> </w:t>
      </w:r>
      <w:r>
        <w:rPr>
          <w:rFonts w:ascii="Garamond" w:hAnsi="Garamond"/>
        </w:rPr>
        <w:t xml:space="preserve">22-24 </w:t>
      </w:r>
      <w:r w:rsidR="002058EC">
        <w:rPr>
          <w:rFonts w:ascii="Garamond" w:hAnsi="Garamond"/>
        </w:rPr>
        <w:tab/>
      </w:r>
      <w:r w:rsidRPr="00217328">
        <w:rPr>
          <w:rFonts w:ascii="Garamond" w:hAnsi="Garamond"/>
        </w:rPr>
        <w:t>November, UNECA, Addis Ababa.</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Pindyck,</w:t>
      </w:r>
      <w:r>
        <w:rPr>
          <w:rFonts w:ascii="Garamond" w:hAnsi="Garamond"/>
        </w:rPr>
        <w:t xml:space="preserve"> R. S. (1998) “Irreversible Investment, C</w:t>
      </w:r>
      <w:r w:rsidRPr="00217328">
        <w:rPr>
          <w:rFonts w:ascii="Garamond" w:hAnsi="Garamond"/>
        </w:rPr>
        <w:t>apacit</w:t>
      </w:r>
      <w:r>
        <w:rPr>
          <w:rFonts w:ascii="Garamond" w:hAnsi="Garamond"/>
        </w:rPr>
        <w:t>y Choice, and the Value of the F</w:t>
      </w:r>
      <w:r w:rsidRPr="00217328">
        <w:rPr>
          <w:rFonts w:ascii="Garamond" w:hAnsi="Garamond"/>
        </w:rPr>
        <w:t xml:space="preserve">irm”. </w:t>
      </w:r>
      <w:r w:rsidR="002058EC">
        <w:rPr>
          <w:rFonts w:ascii="Garamond" w:hAnsi="Garamond"/>
        </w:rPr>
        <w:tab/>
      </w:r>
      <w:r w:rsidRPr="006E71E4">
        <w:rPr>
          <w:rFonts w:ascii="Garamond" w:hAnsi="Garamond"/>
        </w:rPr>
        <w:t>American Economic Review</w:t>
      </w:r>
      <w:r>
        <w:rPr>
          <w:rFonts w:ascii="Garamond" w:hAnsi="Garamond"/>
        </w:rPr>
        <w:t xml:space="preserve">, </w:t>
      </w:r>
      <w:r w:rsidRPr="00217328">
        <w:rPr>
          <w:rFonts w:ascii="Garamond" w:hAnsi="Garamond"/>
        </w:rPr>
        <w:t>78</w:t>
      </w:r>
      <w:r>
        <w:rPr>
          <w:rFonts w:ascii="Garamond" w:hAnsi="Garamond"/>
        </w:rPr>
        <w:t>(</w:t>
      </w:r>
      <w:r w:rsidRPr="00217328">
        <w:rPr>
          <w:rFonts w:ascii="Garamond" w:hAnsi="Garamond"/>
        </w:rPr>
        <w:t>5</w:t>
      </w:r>
      <w:r>
        <w:rPr>
          <w:rFonts w:ascii="Garamond" w:hAnsi="Garamond"/>
        </w:rPr>
        <w:t>)</w:t>
      </w:r>
      <w:r w:rsidRPr="00217328">
        <w:rPr>
          <w:rFonts w:ascii="Garamond" w:hAnsi="Garamond"/>
        </w:rPr>
        <w:t>, pp. 969-985.</w:t>
      </w:r>
    </w:p>
    <w:p w:rsidR="00AC6F2B" w:rsidRPr="00217328" w:rsidRDefault="00AC6F2B" w:rsidP="00AC6F2B">
      <w:pPr>
        <w:autoSpaceDE w:val="0"/>
        <w:autoSpaceDN w:val="0"/>
        <w:adjustRightInd w:val="0"/>
        <w:spacing w:line="360" w:lineRule="auto"/>
        <w:rPr>
          <w:rFonts w:ascii="Garamond" w:hAnsi="Garamond"/>
        </w:rPr>
      </w:pPr>
      <w:r>
        <w:rPr>
          <w:rFonts w:ascii="Garamond" w:hAnsi="Garamond"/>
        </w:rPr>
        <w:t>Razafimahefa, I.</w:t>
      </w:r>
      <w:r w:rsidRPr="00217328">
        <w:rPr>
          <w:rFonts w:ascii="Garamond" w:hAnsi="Garamond"/>
        </w:rPr>
        <w:t xml:space="preserve"> and Hamori</w:t>
      </w:r>
      <w:r>
        <w:rPr>
          <w:rFonts w:ascii="Garamond" w:hAnsi="Garamond"/>
        </w:rPr>
        <w:t>,</w:t>
      </w:r>
      <w:r w:rsidRPr="00217328">
        <w:rPr>
          <w:rFonts w:ascii="Garamond" w:hAnsi="Garamond"/>
        </w:rPr>
        <w:t xml:space="preserve"> S. </w:t>
      </w:r>
      <w:r>
        <w:rPr>
          <w:rFonts w:ascii="Garamond" w:hAnsi="Garamond"/>
        </w:rPr>
        <w:t>(</w:t>
      </w:r>
      <w:r w:rsidRPr="00217328">
        <w:rPr>
          <w:rFonts w:ascii="Garamond" w:hAnsi="Garamond"/>
        </w:rPr>
        <w:t>2005</w:t>
      </w:r>
      <w:r>
        <w:rPr>
          <w:rFonts w:ascii="Garamond" w:hAnsi="Garamond"/>
        </w:rPr>
        <w:t xml:space="preserve">) “An Empirical Analysis of FDI </w:t>
      </w:r>
      <w:r w:rsidRPr="00217328">
        <w:rPr>
          <w:rFonts w:ascii="Garamond" w:hAnsi="Garamond"/>
        </w:rPr>
        <w:t xml:space="preserve">Competitiveness in </w:t>
      </w:r>
      <w:r w:rsidR="00BB4767">
        <w:rPr>
          <w:rFonts w:ascii="Garamond" w:hAnsi="Garamond"/>
        </w:rPr>
        <w:tab/>
      </w:r>
      <w:r w:rsidRPr="00217328">
        <w:rPr>
          <w:rFonts w:ascii="Garamond" w:hAnsi="Garamond"/>
        </w:rPr>
        <w:t xml:space="preserve">Sub-Saharan Africa and Developing Countries”. </w:t>
      </w:r>
      <w:r w:rsidRPr="006E71E4">
        <w:rPr>
          <w:rFonts w:ascii="Garamond" w:hAnsi="Garamond"/>
          <w:iCs/>
        </w:rPr>
        <w:t>Economics Bulletin,</w:t>
      </w:r>
      <w:r w:rsidRPr="00217328">
        <w:rPr>
          <w:rFonts w:ascii="Garamond" w:hAnsi="Garamond"/>
          <w:i/>
          <w:iCs/>
        </w:rPr>
        <w:t xml:space="preserve"> </w:t>
      </w:r>
      <w:r w:rsidRPr="00217328">
        <w:rPr>
          <w:rFonts w:ascii="Garamond" w:hAnsi="Garamond"/>
        </w:rPr>
        <w:t>6</w:t>
      </w:r>
      <w:r>
        <w:rPr>
          <w:rFonts w:ascii="Garamond" w:hAnsi="Garamond"/>
        </w:rPr>
        <w:t>(</w:t>
      </w:r>
      <w:r w:rsidRPr="00217328">
        <w:rPr>
          <w:rFonts w:ascii="Garamond" w:hAnsi="Garamond"/>
        </w:rPr>
        <w:t xml:space="preserve"> 20</w:t>
      </w:r>
      <w:r>
        <w:rPr>
          <w:rFonts w:ascii="Garamond" w:hAnsi="Garamond"/>
        </w:rPr>
        <w:t>),</w:t>
      </w:r>
      <w:r w:rsidRPr="00217328">
        <w:rPr>
          <w:rFonts w:ascii="Garamond" w:hAnsi="Garamond"/>
        </w:rPr>
        <w:t xml:space="preserve"> pp. 1−8.</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iCs/>
        </w:rPr>
        <w:t xml:space="preserve">Ruiz, I. C. </w:t>
      </w:r>
      <w:r>
        <w:rPr>
          <w:rFonts w:ascii="Garamond" w:hAnsi="Garamond"/>
          <w:iCs/>
        </w:rPr>
        <w:t>(</w:t>
      </w:r>
      <w:r w:rsidRPr="00217328">
        <w:rPr>
          <w:rFonts w:ascii="Garamond" w:hAnsi="Garamond"/>
          <w:iCs/>
        </w:rPr>
        <w:t>2005</w:t>
      </w:r>
      <w:r>
        <w:rPr>
          <w:rFonts w:ascii="Garamond" w:hAnsi="Garamond"/>
          <w:iCs/>
        </w:rPr>
        <w:t>):</w:t>
      </w:r>
      <w:r w:rsidRPr="00217328">
        <w:rPr>
          <w:rFonts w:ascii="Garamond" w:hAnsi="Garamond"/>
          <w:iCs/>
        </w:rPr>
        <w:t xml:space="preserve"> “</w:t>
      </w:r>
      <w:r>
        <w:rPr>
          <w:rFonts w:ascii="Garamond" w:hAnsi="Garamond"/>
          <w:bCs/>
        </w:rPr>
        <w:t xml:space="preserve">Exchange Rate as a Determinant of Foreign Direct Investment: Does it </w:t>
      </w:r>
      <w:r w:rsidR="00BB4767">
        <w:rPr>
          <w:rFonts w:ascii="Garamond" w:hAnsi="Garamond"/>
          <w:bCs/>
        </w:rPr>
        <w:tab/>
      </w:r>
      <w:r>
        <w:rPr>
          <w:rFonts w:ascii="Garamond" w:hAnsi="Garamond"/>
          <w:bCs/>
        </w:rPr>
        <w:t>Really Matter? Theoretical Aspects, Literature Review and Applied P</w:t>
      </w:r>
      <w:r w:rsidRPr="00217328">
        <w:rPr>
          <w:rFonts w:ascii="Garamond" w:hAnsi="Garamond"/>
          <w:bCs/>
        </w:rPr>
        <w:t xml:space="preserve">roposal”, </w:t>
      </w:r>
      <w:r w:rsidRPr="00217328">
        <w:rPr>
          <w:rFonts w:ascii="Garamond" w:hAnsi="Garamond"/>
          <w:i/>
        </w:rPr>
        <w:t xml:space="preserve">Ecos de </w:t>
      </w:r>
      <w:r w:rsidR="00BB4767">
        <w:rPr>
          <w:rFonts w:ascii="Garamond" w:hAnsi="Garamond"/>
          <w:i/>
        </w:rPr>
        <w:tab/>
      </w:r>
      <w:r w:rsidRPr="00217328">
        <w:rPr>
          <w:rFonts w:ascii="Garamond" w:hAnsi="Garamond"/>
          <w:i/>
        </w:rPr>
        <w:t>Economía</w:t>
      </w:r>
      <w:r>
        <w:rPr>
          <w:rFonts w:ascii="Garamond" w:hAnsi="Garamond"/>
        </w:rPr>
        <w:t xml:space="preserve">, </w:t>
      </w:r>
      <w:r w:rsidRPr="00217328">
        <w:rPr>
          <w:rFonts w:ascii="Garamond" w:hAnsi="Garamond"/>
        </w:rPr>
        <w:t>21. Medellín, pp. 153-171.</w:t>
      </w:r>
    </w:p>
    <w:p w:rsidR="00AC6F2B" w:rsidRPr="006E71E4" w:rsidRDefault="00AC6F2B" w:rsidP="00AC6F2B">
      <w:pPr>
        <w:autoSpaceDE w:val="0"/>
        <w:autoSpaceDN w:val="0"/>
        <w:adjustRightInd w:val="0"/>
        <w:spacing w:line="360" w:lineRule="auto"/>
        <w:rPr>
          <w:rFonts w:ascii="Garamond" w:hAnsi="Garamond"/>
        </w:rPr>
      </w:pPr>
      <w:r w:rsidRPr="006E71E4">
        <w:rPr>
          <w:rFonts w:ascii="Garamond" w:hAnsi="Garamond"/>
        </w:rPr>
        <w:t xml:space="preserve">Savvides, A. </w:t>
      </w:r>
      <w:r>
        <w:rPr>
          <w:rFonts w:ascii="Garamond" w:hAnsi="Garamond"/>
        </w:rPr>
        <w:t>(</w:t>
      </w:r>
      <w:r w:rsidRPr="006E71E4">
        <w:rPr>
          <w:rFonts w:ascii="Garamond" w:hAnsi="Garamond"/>
        </w:rPr>
        <w:t>1990</w:t>
      </w:r>
      <w:r>
        <w:rPr>
          <w:rFonts w:ascii="Garamond" w:hAnsi="Garamond"/>
        </w:rPr>
        <w:t>): “</w:t>
      </w:r>
      <w:r w:rsidRPr="006E71E4">
        <w:rPr>
          <w:rFonts w:ascii="Garamond" w:hAnsi="Garamond"/>
        </w:rPr>
        <w:t xml:space="preserve">Real Exchange Rate Variability and the Choice of Exchange Rate </w:t>
      </w:r>
      <w:r w:rsidR="00BB4767">
        <w:rPr>
          <w:rFonts w:ascii="Garamond" w:hAnsi="Garamond"/>
        </w:rPr>
        <w:tab/>
      </w:r>
      <w:r w:rsidRPr="006E71E4">
        <w:rPr>
          <w:rFonts w:ascii="Garamond" w:hAnsi="Garamond"/>
        </w:rPr>
        <w:t xml:space="preserve">Regime by </w:t>
      </w:r>
      <w:r>
        <w:rPr>
          <w:rFonts w:ascii="Garamond" w:hAnsi="Garamond"/>
        </w:rPr>
        <w:t>Developing Countries”</w:t>
      </w:r>
      <w:r w:rsidRPr="006E71E4">
        <w:rPr>
          <w:rFonts w:ascii="Garamond" w:hAnsi="Garamond"/>
        </w:rPr>
        <w:t xml:space="preserve">. </w:t>
      </w:r>
      <w:r w:rsidRPr="006E71E4">
        <w:rPr>
          <w:rFonts w:ascii="Garamond" w:hAnsi="Garamond"/>
          <w:iCs/>
        </w:rPr>
        <w:t>Journal of International Money and Finance</w:t>
      </w:r>
      <w:r w:rsidRPr="006E71E4">
        <w:rPr>
          <w:rFonts w:ascii="Garamond" w:hAnsi="Garamond"/>
        </w:rPr>
        <w:t xml:space="preserve">, </w:t>
      </w:r>
      <w:r>
        <w:rPr>
          <w:rFonts w:ascii="Garamond" w:hAnsi="Garamond"/>
        </w:rPr>
        <w:t>(</w:t>
      </w:r>
      <w:r w:rsidRPr="006E71E4">
        <w:rPr>
          <w:rFonts w:ascii="Garamond" w:hAnsi="Garamond"/>
        </w:rPr>
        <w:t>9</w:t>
      </w:r>
      <w:r>
        <w:rPr>
          <w:rFonts w:ascii="Garamond" w:hAnsi="Garamond"/>
        </w:rPr>
        <w:t xml:space="preserve">), </w:t>
      </w:r>
      <w:r w:rsidR="00BB4767">
        <w:rPr>
          <w:rFonts w:ascii="Garamond" w:hAnsi="Garamond"/>
        </w:rPr>
        <w:tab/>
      </w:r>
      <w:r>
        <w:rPr>
          <w:rFonts w:ascii="Garamond" w:hAnsi="Garamond"/>
        </w:rPr>
        <w:t>pp.</w:t>
      </w:r>
      <w:r w:rsidRPr="006E71E4">
        <w:rPr>
          <w:rFonts w:ascii="Garamond" w:hAnsi="Garamond"/>
        </w:rPr>
        <w:t xml:space="preserve"> 440-454. </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Sercu, P</w:t>
      </w:r>
      <w:r>
        <w:rPr>
          <w:rFonts w:ascii="Garamond" w:hAnsi="Garamond"/>
        </w:rPr>
        <w:t>.</w:t>
      </w:r>
      <w:r w:rsidRPr="00217328">
        <w:rPr>
          <w:rFonts w:ascii="Garamond" w:hAnsi="Garamond"/>
        </w:rPr>
        <w:t xml:space="preserve"> and </w:t>
      </w:r>
      <w:r>
        <w:rPr>
          <w:rFonts w:ascii="Garamond" w:hAnsi="Garamond"/>
        </w:rPr>
        <w:t>Vanhulle,</w:t>
      </w:r>
      <w:r w:rsidRPr="00217328">
        <w:rPr>
          <w:rFonts w:ascii="Garamond" w:hAnsi="Garamond"/>
        </w:rPr>
        <w:t xml:space="preserve"> </w:t>
      </w:r>
      <w:r>
        <w:rPr>
          <w:rFonts w:ascii="Garamond" w:hAnsi="Garamond"/>
        </w:rPr>
        <w:t>C. (1992): “Exchange Rate Volatility, I</w:t>
      </w:r>
      <w:r w:rsidRPr="00217328">
        <w:rPr>
          <w:rFonts w:ascii="Garamond" w:hAnsi="Garamond"/>
        </w:rPr>
        <w:t>nt</w:t>
      </w:r>
      <w:r>
        <w:rPr>
          <w:rFonts w:ascii="Garamond" w:hAnsi="Garamond"/>
        </w:rPr>
        <w:t xml:space="preserve">ernational Trade and the </w:t>
      </w:r>
      <w:r w:rsidR="00BB4767">
        <w:rPr>
          <w:rFonts w:ascii="Garamond" w:hAnsi="Garamond"/>
        </w:rPr>
        <w:tab/>
      </w:r>
      <w:r>
        <w:rPr>
          <w:rFonts w:ascii="Garamond" w:hAnsi="Garamond"/>
        </w:rPr>
        <w:t xml:space="preserve">Value </w:t>
      </w:r>
      <w:r w:rsidRPr="00217328">
        <w:rPr>
          <w:rFonts w:ascii="Garamond" w:hAnsi="Garamond"/>
        </w:rPr>
        <w:t xml:space="preserve">of </w:t>
      </w:r>
      <w:r>
        <w:rPr>
          <w:rFonts w:ascii="Garamond" w:hAnsi="Garamond"/>
        </w:rPr>
        <w:t>E</w:t>
      </w:r>
      <w:r w:rsidRPr="00217328">
        <w:rPr>
          <w:rFonts w:ascii="Garamond" w:hAnsi="Garamond"/>
        </w:rPr>
        <w:t xml:space="preserve">xporting </w:t>
      </w:r>
      <w:r>
        <w:rPr>
          <w:rFonts w:ascii="Garamond" w:hAnsi="Garamond"/>
        </w:rPr>
        <w:t>F</w:t>
      </w:r>
      <w:r w:rsidRPr="00217328">
        <w:rPr>
          <w:rFonts w:ascii="Garamond" w:hAnsi="Garamond"/>
        </w:rPr>
        <w:t xml:space="preserve">irms”. </w:t>
      </w:r>
      <w:r w:rsidRPr="006E71E4">
        <w:rPr>
          <w:rFonts w:ascii="Garamond" w:hAnsi="Garamond"/>
          <w:iCs/>
        </w:rPr>
        <w:t>Journal of Banking and Finance,</w:t>
      </w:r>
      <w:r w:rsidRPr="00217328">
        <w:rPr>
          <w:rFonts w:ascii="Garamond" w:hAnsi="Garamond"/>
          <w:i/>
          <w:iCs/>
        </w:rPr>
        <w:t xml:space="preserve"> </w:t>
      </w:r>
      <w:r>
        <w:rPr>
          <w:rFonts w:ascii="Garamond" w:hAnsi="Garamond"/>
          <w:iCs/>
        </w:rPr>
        <w:t>(</w:t>
      </w:r>
      <w:r w:rsidRPr="00217328">
        <w:rPr>
          <w:rFonts w:ascii="Garamond" w:hAnsi="Garamond"/>
        </w:rPr>
        <w:t>16</w:t>
      </w:r>
      <w:r>
        <w:rPr>
          <w:rFonts w:ascii="Garamond" w:hAnsi="Garamond"/>
        </w:rPr>
        <w:t>)</w:t>
      </w:r>
      <w:r w:rsidRPr="00217328">
        <w:rPr>
          <w:rFonts w:ascii="Garamond" w:hAnsi="Garamond"/>
        </w:rPr>
        <w:t>, pp. 55-182.</w:t>
      </w:r>
    </w:p>
    <w:p w:rsidR="00AC6F2B" w:rsidRPr="00217328" w:rsidRDefault="00AC6F2B" w:rsidP="00AC6F2B">
      <w:pPr>
        <w:autoSpaceDE w:val="0"/>
        <w:autoSpaceDN w:val="0"/>
        <w:adjustRightInd w:val="0"/>
        <w:spacing w:line="360" w:lineRule="auto"/>
        <w:rPr>
          <w:rFonts w:ascii="Garamond" w:hAnsi="Garamond"/>
        </w:rPr>
      </w:pPr>
      <w:r w:rsidRPr="00217328">
        <w:rPr>
          <w:rFonts w:ascii="Garamond" w:hAnsi="Garamond"/>
        </w:rPr>
        <w:t>UNCTAD. 2003. World Investment Report</w:t>
      </w:r>
      <w:r w:rsidRPr="00217328">
        <w:rPr>
          <w:rFonts w:ascii="Garamond" w:hAnsi="Garamond"/>
          <w:u w:val="single"/>
        </w:rPr>
        <w:t xml:space="preserve">, </w:t>
      </w:r>
      <w:r w:rsidRPr="00217328">
        <w:rPr>
          <w:rFonts w:ascii="Garamond" w:hAnsi="Garamond"/>
        </w:rPr>
        <w:t xml:space="preserve">United Nations, New York and Geneva. </w:t>
      </w:r>
    </w:p>
    <w:p w:rsidR="00AC6F2B" w:rsidRPr="00217328" w:rsidRDefault="00AC6F2B" w:rsidP="00AC6F2B">
      <w:pPr>
        <w:spacing w:line="360" w:lineRule="auto"/>
        <w:jc w:val="both"/>
        <w:rPr>
          <w:rFonts w:ascii="Garamond" w:hAnsi="Garamond"/>
        </w:rPr>
      </w:pPr>
      <w:r w:rsidRPr="00217328">
        <w:rPr>
          <w:rFonts w:ascii="Garamond" w:hAnsi="Garamond"/>
        </w:rPr>
        <w:lastRenderedPageBreak/>
        <w:t xml:space="preserve">UNCTAD. </w:t>
      </w:r>
      <w:r>
        <w:rPr>
          <w:rFonts w:ascii="Garamond" w:hAnsi="Garamond"/>
        </w:rPr>
        <w:t>(</w:t>
      </w:r>
      <w:r w:rsidRPr="00217328">
        <w:rPr>
          <w:rFonts w:ascii="Garamond" w:hAnsi="Garamond"/>
        </w:rPr>
        <w:t>2006</w:t>
      </w:r>
      <w:r>
        <w:rPr>
          <w:rFonts w:ascii="Garamond" w:hAnsi="Garamond"/>
        </w:rPr>
        <w:t>):</w:t>
      </w:r>
      <w:r w:rsidRPr="00217328">
        <w:rPr>
          <w:rFonts w:ascii="Garamond" w:hAnsi="Garamond"/>
        </w:rPr>
        <w:t xml:space="preserve"> </w:t>
      </w:r>
      <w:r w:rsidRPr="006E71E4">
        <w:rPr>
          <w:rFonts w:ascii="Garamond" w:hAnsi="Garamond"/>
        </w:rPr>
        <w:t>World Investment Report</w:t>
      </w:r>
      <w:r w:rsidRPr="00217328">
        <w:rPr>
          <w:rFonts w:ascii="Garamond" w:hAnsi="Garamond"/>
        </w:rPr>
        <w:t>, United Nations, New York and Geneva</w:t>
      </w:r>
    </w:p>
    <w:p w:rsidR="00AC6F2B" w:rsidRPr="00217328" w:rsidRDefault="00AC6F2B" w:rsidP="00AC6F2B">
      <w:pPr>
        <w:spacing w:line="360" w:lineRule="auto"/>
        <w:jc w:val="both"/>
        <w:rPr>
          <w:rFonts w:ascii="Garamond" w:hAnsi="Garamond"/>
        </w:rPr>
      </w:pPr>
      <w:r w:rsidRPr="00217328">
        <w:rPr>
          <w:rFonts w:ascii="Garamond" w:hAnsi="Garamond"/>
        </w:rPr>
        <w:t>UNCTAD .</w:t>
      </w:r>
      <w:r>
        <w:rPr>
          <w:rFonts w:ascii="Garamond" w:hAnsi="Garamond"/>
        </w:rPr>
        <w:t>(</w:t>
      </w:r>
      <w:r w:rsidRPr="00217328">
        <w:rPr>
          <w:rFonts w:ascii="Garamond" w:hAnsi="Garamond"/>
        </w:rPr>
        <w:t>2008</w:t>
      </w:r>
      <w:r>
        <w:rPr>
          <w:rFonts w:ascii="Garamond" w:hAnsi="Garamond"/>
        </w:rPr>
        <w:t>):</w:t>
      </w:r>
      <w:r w:rsidRPr="00217328">
        <w:rPr>
          <w:rFonts w:ascii="Garamond" w:hAnsi="Garamond"/>
        </w:rPr>
        <w:t xml:space="preserve"> World Investment Directory, Volume X, Africa. United Nations, </w:t>
      </w:r>
      <w:r w:rsidR="00BB4767">
        <w:rPr>
          <w:rFonts w:ascii="Garamond" w:hAnsi="Garamond"/>
        </w:rPr>
        <w:tab/>
      </w:r>
      <w:r w:rsidRPr="00217328">
        <w:rPr>
          <w:rFonts w:ascii="Garamond" w:hAnsi="Garamond"/>
        </w:rPr>
        <w:t>Geneva.</w:t>
      </w:r>
    </w:p>
    <w:p w:rsidR="00AC6F2B" w:rsidRPr="00217328" w:rsidRDefault="00AC6F2B" w:rsidP="00AC6F2B">
      <w:pPr>
        <w:autoSpaceDE w:val="0"/>
        <w:autoSpaceDN w:val="0"/>
        <w:adjustRightInd w:val="0"/>
        <w:spacing w:line="360" w:lineRule="auto"/>
        <w:rPr>
          <w:rFonts w:ascii="Garamond" w:hAnsi="Garamond"/>
        </w:rPr>
      </w:pPr>
      <w:r>
        <w:rPr>
          <w:rFonts w:ascii="Garamond" w:hAnsi="Garamond"/>
        </w:rPr>
        <w:t>Wallich, H.</w:t>
      </w:r>
      <w:r w:rsidRPr="00217328">
        <w:rPr>
          <w:rFonts w:ascii="Garamond" w:hAnsi="Garamond"/>
        </w:rPr>
        <w:t xml:space="preserve"> C. </w:t>
      </w:r>
      <w:r>
        <w:rPr>
          <w:rFonts w:ascii="Garamond" w:hAnsi="Garamond"/>
        </w:rPr>
        <w:t>(</w:t>
      </w:r>
      <w:r w:rsidRPr="00217328">
        <w:rPr>
          <w:rFonts w:ascii="Garamond" w:hAnsi="Garamond"/>
        </w:rPr>
        <w:t>1973</w:t>
      </w:r>
      <w:r>
        <w:rPr>
          <w:rFonts w:ascii="Garamond" w:hAnsi="Garamond"/>
        </w:rPr>
        <w:t>): “Why Fixed Exchange R</w:t>
      </w:r>
      <w:r w:rsidRPr="00217328">
        <w:rPr>
          <w:rFonts w:ascii="Garamond" w:hAnsi="Garamond"/>
        </w:rPr>
        <w:t xml:space="preserve">ates”. </w:t>
      </w:r>
      <w:r w:rsidRPr="006E71E4">
        <w:rPr>
          <w:rFonts w:ascii="Garamond" w:hAnsi="Garamond"/>
        </w:rPr>
        <w:t>Social Science Quarterly</w:t>
      </w:r>
      <w:r>
        <w:rPr>
          <w:rFonts w:ascii="Garamond" w:hAnsi="Garamond"/>
        </w:rPr>
        <w:t>, June, pp. 146-</w:t>
      </w:r>
      <w:r w:rsidR="00BB4767">
        <w:rPr>
          <w:rFonts w:ascii="Garamond" w:hAnsi="Garamond"/>
        </w:rPr>
        <w:tab/>
      </w:r>
      <w:r w:rsidRPr="00217328">
        <w:rPr>
          <w:rFonts w:ascii="Garamond" w:hAnsi="Garamond"/>
        </w:rPr>
        <w:t>151.</w:t>
      </w:r>
    </w:p>
    <w:p w:rsidR="00AC6F2B" w:rsidRPr="00AC6F2B" w:rsidRDefault="00AC6F2B" w:rsidP="00AC6F2B">
      <w:pPr>
        <w:autoSpaceDE w:val="0"/>
        <w:autoSpaceDN w:val="0"/>
        <w:adjustRightInd w:val="0"/>
        <w:spacing w:line="360" w:lineRule="auto"/>
        <w:rPr>
          <w:rFonts w:ascii="Garamond" w:hAnsi="Garamond"/>
        </w:rPr>
      </w:pPr>
      <w:r>
        <w:rPr>
          <w:rFonts w:ascii="Garamond" w:hAnsi="Garamond"/>
        </w:rPr>
        <w:t>Zhang, L.</w:t>
      </w:r>
      <w:r w:rsidRPr="00217328">
        <w:rPr>
          <w:rFonts w:ascii="Garamond" w:hAnsi="Garamond"/>
        </w:rPr>
        <w:t xml:space="preserve"> H. </w:t>
      </w:r>
      <w:r>
        <w:rPr>
          <w:rFonts w:ascii="Garamond" w:hAnsi="Garamond"/>
        </w:rPr>
        <w:t>(</w:t>
      </w:r>
      <w:r w:rsidRPr="00217328">
        <w:rPr>
          <w:rFonts w:ascii="Garamond" w:hAnsi="Garamond"/>
        </w:rPr>
        <w:t>2001</w:t>
      </w:r>
      <w:r>
        <w:rPr>
          <w:rFonts w:ascii="Garamond" w:hAnsi="Garamond"/>
        </w:rPr>
        <w:t>): “Did European I</w:t>
      </w:r>
      <w:r w:rsidRPr="00217328">
        <w:rPr>
          <w:rFonts w:ascii="Garamond" w:hAnsi="Garamond"/>
        </w:rPr>
        <w:t xml:space="preserve">ntegration </w:t>
      </w:r>
      <w:r>
        <w:rPr>
          <w:rFonts w:ascii="Garamond" w:hAnsi="Garamond"/>
        </w:rPr>
        <w:t>A</w:t>
      </w:r>
      <w:r w:rsidRPr="00217328">
        <w:rPr>
          <w:rFonts w:ascii="Garamond" w:hAnsi="Garamond"/>
        </w:rPr>
        <w:t xml:space="preserve">ttract </w:t>
      </w:r>
      <w:r>
        <w:rPr>
          <w:rFonts w:ascii="Garamond" w:hAnsi="Garamond"/>
        </w:rPr>
        <w:t xml:space="preserve">More Foreign Direct Investment </w:t>
      </w:r>
      <w:r w:rsidR="00BB4767">
        <w:rPr>
          <w:rFonts w:ascii="Garamond" w:hAnsi="Garamond"/>
        </w:rPr>
        <w:tab/>
      </w:r>
      <w:r>
        <w:rPr>
          <w:rFonts w:ascii="Garamond" w:hAnsi="Garamond"/>
        </w:rPr>
        <w:t>I</w:t>
      </w:r>
      <w:r w:rsidRPr="00217328">
        <w:rPr>
          <w:rFonts w:ascii="Garamond" w:hAnsi="Garamond"/>
        </w:rPr>
        <w:t>nflows?” Mimeo, Johns Hopkins University.</w:t>
      </w:r>
    </w:p>
    <w:p w:rsidR="00AE43EC" w:rsidRDefault="00AE43EC" w:rsidP="00432C32">
      <w:pPr>
        <w:spacing w:line="360" w:lineRule="auto"/>
        <w:jc w:val="both"/>
        <w:rPr>
          <w:rFonts w:ascii="Garamond" w:hAnsi="Garamond"/>
          <w:b/>
        </w:rPr>
      </w:pPr>
    </w:p>
    <w:p w:rsidR="00AE43EC" w:rsidRDefault="00AE43EC" w:rsidP="00432C32">
      <w:pPr>
        <w:spacing w:line="360" w:lineRule="auto"/>
        <w:jc w:val="both"/>
        <w:rPr>
          <w:rFonts w:ascii="Garamond" w:hAnsi="Garamond"/>
          <w:b/>
        </w:rPr>
      </w:pPr>
    </w:p>
    <w:p w:rsidR="00AE43EC" w:rsidRDefault="00AE43EC" w:rsidP="00432C32">
      <w:pPr>
        <w:spacing w:line="360" w:lineRule="auto"/>
        <w:jc w:val="both"/>
        <w:rPr>
          <w:rFonts w:ascii="Garamond" w:hAnsi="Garamond"/>
          <w:b/>
        </w:rPr>
      </w:pPr>
    </w:p>
    <w:p w:rsidR="00AE43EC" w:rsidRDefault="00AE43EC" w:rsidP="00432C32">
      <w:pPr>
        <w:spacing w:line="360" w:lineRule="auto"/>
        <w:jc w:val="both"/>
        <w:rPr>
          <w:rFonts w:ascii="Garamond" w:hAnsi="Garamond"/>
          <w:b/>
        </w:rPr>
      </w:pPr>
    </w:p>
    <w:p w:rsidR="00AE43EC" w:rsidRDefault="00AE43EC" w:rsidP="00432C32">
      <w:pPr>
        <w:spacing w:line="360" w:lineRule="auto"/>
        <w:jc w:val="both"/>
        <w:rPr>
          <w:rFonts w:ascii="Garamond" w:hAnsi="Garamond"/>
          <w:b/>
        </w:rPr>
      </w:pPr>
    </w:p>
    <w:p w:rsidR="00AE43EC" w:rsidRDefault="00AE43EC" w:rsidP="00432C32">
      <w:pPr>
        <w:spacing w:line="360" w:lineRule="auto"/>
        <w:jc w:val="both"/>
        <w:rPr>
          <w:rFonts w:ascii="Garamond" w:hAnsi="Garamond"/>
          <w:b/>
        </w:rPr>
      </w:pPr>
    </w:p>
    <w:p w:rsidR="00AE43EC" w:rsidRDefault="00AE43EC" w:rsidP="00432C32">
      <w:pPr>
        <w:spacing w:line="360" w:lineRule="auto"/>
        <w:jc w:val="both"/>
        <w:rPr>
          <w:rFonts w:ascii="Garamond" w:hAnsi="Garamond"/>
          <w:b/>
        </w:rPr>
      </w:pPr>
    </w:p>
    <w:p w:rsidR="00AE43EC" w:rsidRDefault="00AE43EC" w:rsidP="00432C32">
      <w:pPr>
        <w:spacing w:line="360" w:lineRule="auto"/>
        <w:jc w:val="both"/>
        <w:rPr>
          <w:rFonts w:ascii="Garamond" w:hAnsi="Garamond"/>
          <w:b/>
        </w:rPr>
      </w:pPr>
    </w:p>
    <w:p w:rsidR="00AE43EC" w:rsidRDefault="00AE43EC" w:rsidP="00432C32">
      <w:pPr>
        <w:spacing w:line="360" w:lineRule="auto"/>
        <w:jc w:val="both"/>
        <w:rPr>
          <w:rFonts w:ascii="Garamond" w:hAnsi="Garamond"/>
          <w:b/>
        </w:rPr>
      </w:pPr>
    </w:p>
    <w:p w:rsidR="00AE43EC" w:rsidRDefault="00AE43EC" w:rsidP="00432C32">
      <w:pPr>
        <w:spacing w:line="360" w:lineRule="auto"/>
        <w:jc w:val="both"/>
        <w:rPr>
          <w:rFonts w:ascii="Garamond" w:hAnsi="Garamond"/>
          <w:b/>
        </w:rPr>
      </w:pPr>
    </w:p>
    <w:p w:rsidR="002D4A81" w:rsidRDefault="002D4A81" w:rsidP="00432C32">
      <w:pPr>
        <w:spacing w:line="360" w:lineRule="auto"/>
        <w:jc w:val="both"/>
        <w:rPr>
          <w:rFonts w:ascii="Garamond" w:hAnsi="Garamond"/>
          <w:b/>
        </w:rPr>
      </w:pPr>
    </w:p>
    <w:sectPr w:rsidR="002D4A81" w:rsidSect="00284260">
      <w:pgSz w:w="12240" w:h="15840"/>
      <w:pgMar w:top="990" w:right="1797" w:bottom="1440" w:left="1797" w:header="709" w:footer="709" w:gutter="0"/>
      <w:pgNumType w:start="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62F" w:rsidRDefault="0071262F">
      <w:r>
        <w:separator/>
      </w:r>
    </w:p>
  </w:endnote>
  <w:endnote w:type="continuationSeparator" w:id="1">
    <w:p w:rsidR="0071262F" w:rsidRDefault="00712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mr10">
    <w:altName w:val="Malgun Gothic"/>
    <w:charset w:val="00"/>
    <w:family w:val="swiss"/>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05" w:rsidRDefault="00A44305">
    <w:pPr>
      <w:pStyle w:val="Footer"/>
      <w:jc w:val="center"/>
    </w:pPr>
    <w:fldSimple w:instr=" PAGE   \* MERGEFORMAT ">
      <w:r>
        <w:rPr>
          <w:noProof/>
        </w:rPr>
        <w:t>16</w:t>
      </w:r>
    </w:fldSimple>
  </w:p>
  <w:p w:rsidR="00A44305" w:rsidRDefault="00A443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05" w:rsidRDefault="00A44305">
    <w:pPr>
      <w:pStyle w:val="Footer"/>
      <w:jc w:val="center"/>
    </w:pPr>
    <w:fldSimple w:instr=" PAGE   \* MERGEFORMAT ">
      <w:r>
        <w:rPr>
          <w:noProof/>
        </w:rPr>
        <w:t>0</w:t>
      </w:r>
    </w:fldSimple>
  </w:p>
  <w:p w:rsidR="00A44305" w:rsidRDefault="00A44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62F" w:rsidRDefault="0071262F">
      <w:r>
        <w:separator/>
      </w:r>
    </w:p>
  </w:footnote>
  <w:footnote w:type="continuationSeparator" w:id="1">
    <w:p w:rsidR="0071262F" w:rsidRDefault="0071262F">
      <w:r>
        <w:continuationSeparator/>
      </w:r>
    </w:p>
  </w:footnote>
  <w:footnote w:id="2">
    <w:p w:rsidR="00A44305" w:rsidRPr="001A7326" w:rsidRDefault="00A44305">
      <w:pPr>
        <w:pStyle w:val="FootnoteText"/>
        <w:rPr>
          <w:rFonts w:ascii="Garamond" w:hAnsi="Garamond"/>
          <w:lang w:val="en-US"/>
        </w:rPr>
      </w:pPr>
      <w:r w:rsidRPr="001A7326">
        <w:rPr>
          <w:rStyle w:val="FootnoteReference"/>
          <w:rFonts w:ascii="Garamond" w:hAnsi="Garamond"/>
        </w:rPr>
        <w:footnoteRef/>
      </w:r>
      <w:r w:rsidRPr="001A7326">
        <w:rPr>
          <w:rFonts w:ascii="Garamond" w:hAnsi="Garamond"/>
        </w:rPr>
        <w:t xml:space="preserve"> </w:t>
      </w:r>
      <w:r w:rsidRPr="001A7326">
        <w:rPr>
          <w:rFonts w:ascii="Garamond" w:hAnsi="Garamond"/>
          <w:lang w:val="en-US"/>
        </w:rPr>
        <w:t>In this paper, Exchange rate is defined as the unit of domestic currency vis-à-vis a unit of the US dollar.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C1E7F"/>
    <w:multiLevelType w:val="multilevel"/>
    <w:tmpl w:val="3202DCA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useFELayout/>
  </w:compat>
  <w:rsids>
    <w:rsidRoot w:val="00711846"/>
    <w:rsid w:val="00007A83"/>
    <w:rsid w:val="0001695B"/>
    <w:rsid w:val="00016E36"/>
    <w:rsid w:val="000226B6"/>
    <w:rsid w:val="00027CA6"/>
    <w:rsid w:val="00036D4C"/>
    <w:rsid w:val="00050C6B"/>
    <w:rsid w:val="00054F17"/>
    <w:rsid w:val="00056D09"/>
    <w:rsid w:val="00067C90"/>
    <w:rsid w:val="00070DA1"/>
    <w:rsid w:val="00074755"/>
    <w:rsid w:val="0007577B"/>
    <w:rsid w:val="0008149A"/>
    <w:rsid w:val="00081ED3"/>
    <w:rsid w:val="000840F2"/>
    <w:rsid w:val="00090F6E"/>
    <w:rsid w:val="00091CB4"/>
    <w:rsid w:val="000A21C7"/>
    <w:rsid w:val="000B242C"/>
    <w:rsid w:val="000C6A22"/>
    <w:rsid w:val="000E0EA6"/>
    <w:rsid w:val="000E5DEF"/>
    <w:rsid w:val="000F2236"/>
    <w:rsid w:val="000F4319"/>
    <w:rsid w:val="000F5AF6"/>
    <w:rsid w:val="0010032B"/>
    <w:rsid w:val="001048B5"/>
    <w:rsid w:val="00104A1A"/>
    <w:rsid w:val="001122E8"/>
    <w:rsid w:val="00122DAB"/>
    <w:rsid w:val="0012641A"/>
    <w:rsid w:val="00127403"/>
    <w:rsid w:val="001276C5"/>
    <w:rsid w:val="0013564F"/>
    <w:rsid w:val="00142D2B"/>
    <w:rsid w:val="001558F8"/>
    <w:rsid w:val="00171650"/>
    <w:rsid w:val="001A7326"/>
    <w:rsid w:val="001B270E"/>
    <w:rsid w:val="001C3662"/>
    <w:rsid w:val="001C583B"/>
    <w:rsid w:val="001D59EE"/>
    <w:rsid w:val="001E3D9B"/>
    <w:rsid w:val="001E432A"/>
    <w:rsid w:val="001F166B"/>
    <w:rsid w:val="001F6F4C"/>
    <w:rsid w:val="002028F7"/>
    <w:rsid w:val="0020466C"/>
    <w:rsid w:val="002058EC"/>
    <w:rsid w:val="00205D8E"/>
    <w:rsid w:val="00215C73"/>
    <w:rsid w:val="00216260"/>
    <w:rsid w:val="00217328"/>
    <w:rsid w:val="0022667A"/>
    <w:rsid w:val="00235884"/>
    <w:rsid w:val="00246ECB"/>
    <w:rsid w:val="00247991"/>
    <w:rsid w:val="00254BB8"/>
    <w:rsid w:val="00267D4C"/>
    <w:rsid w:val="00272312"/>
    <w:rsid w:val="00284260"/>
    <w:rsid w:val="00285C55"/>
    <w:rsid w:val="002977F6"/>
    <w:rsid w:val="002A1A6C"/>
    <w:rsid w:val="002A67A2"/>
    <w:rsid w:val="002B328F"/>
    <w:rsid w:val="002B779D"/>
    <w:rsid w:val="002C18DA"/>
    <w:rsid w:val="002C3BA1"/>
    <w:rsid w:val="002D4A81"/>
    <w:rsid w:val="002D6473"/>
    <w:rsid w:val="002E0D01"/>
    <w:rsid w:val="002E3EC2"/>
    <w:rsid w:val="002F4F95"/>
    <w:rsid w:val="00312012"/>
    <w:rsid w:val="00313A7C"/>
    <w:rsid w:val="0032263B"/>
    <w:rsid w:val="00345CEE"/>
    <w:rsid w:val="003534C6"/>
    <w:rsid w:val="003536DD"/>
    <w:rsid w:val="003553BC"/>
    <w:rsid w:val="00355DE0"/>
    <w:rsid w:val="003561E1"/>
    <w:rsid w:val="00370EEF"/>
    <w:rsid w:val="00374577"/>
    <w:rsid w:val="00374B19"/>
    <w:rsid w:val="003805C6"/>
    <w:rsid w:val="00380D0F"/>
    <w:rsid w:val="003915F5"/>
    <w:rsid w:val="003A61E3"/>
    <w:rsid w:val="003C00BA"/>
    <w:rsid w:val="003D0FAB"/>
    <w:rsid w:val="003D4B23"/>
    <w:rsid w:val="003E2E2D"/>
    <w:rsid w:val="004059AD"/>
    <w:rsid w:val="00406CAB"/>
    <w:rsid w:val="00410316"/>
    <w:rsid w:val="00414F16"/>
    <w:rsid w:val="00415992"/>
    <w:rsid w:val="004169B6"/>
    <w:rsid w:val="00421F2C"/>
    <w:rsid w:val="004230B6"/>
    <w:rsid w:val="00431A67"/>
    <w:rsid w:val="0043234E"/>
    <w:rsid w:val="00432C32"/>
    <w:rsid w:val="00440B40"/>
    <w:rsid w:val="004438A2"/>
    <w:rsid w:val="00445641"/>
    <w:rsid w:val="00445D73"/>
    <w:rsid w:val="00453FD0"/>
    <w:rsid w:val="00454C6F"/>
    <w:rsid w:val="0046256C"/>
    <w:rsid w:val="00471CC9"/>
    <w:rsid w:val="00486469"/>
    <w:rsid w:val="0048796D"/>
    <w:rsid w:val="00487D97"/>
    <w:rsid w:val="004934B2"/>
    <w:rsid w:val="00497E08"/>
    <w:rsid w:val="00497EAF"/>
    <w:rsid w:val="004A7742"/>
    <w:rsid w:val="004B56E4"/>
    <w:rsid w:val="004B7809"/>
    <w:rsid w:val="004C3A3D"/>
    <w:rsid w:val="004C6B6C"/>
    <w:rsid w:val="004C6C48"/>
    <w:rsid w:val="004D2959"/>
    <w:rsid w:val="004D2C37"/>
    <w:rsid w:val="004D46B7"/>
    <w:rsid w:val="004D67BD"/>
    <w:rsid w:val="004E2260"/>
    <w:rsid w:val="004E560C"/>
    <w:rsid w:val="004E661F"/>
    <w:rsid w:val="004E6ADB"/>
    <w:rsid w:val="004F7C16"/>
    <w:rsid w:val="005070D0"/>
    <w:rsid w:val="00507419"/>
    <w:rsid w:val="00507A9D"/>
    <w:rsid w:val="00516965"/>
    <w:rsid w:val="00517F37"/>
    <w:rsid w:val="0053076B"/>
    <w:rsid w:val="0053371E"/>
    <w:rsid w:val="00537947"/>
    <w:rsid w:val="0055359F"/>
    <w:rsid w:val="00553B01"/>
    <w:rsid w:val="00561412"/>
    <w:rsid w:val="005653AA"/>
    <w:rsid w:val="005778EF"/>
    <w:rsid w:val="00577A33"/>
    <w:rsid w:val="005819FC"/>
    <w:rsid w:val="00585D46"/>
    <w:rsid w:val="00593CF9"/>
    <w:rsid w:val="00596884"/>
    <w:rsid w:val="005A2D6B"/>
    <w:rsid w:val="005C2B62"/>
    <w:rsid w:val="005C615A"/>
    <w:rsid w:val="005D0331"/>
    <w:rsid w:val="005D1E7C"/>
    <w:rsid w:val="00601429"/>
    <w:rsid w:val="006031C1"/>
    <w:rsid w:val="006049D1"/>
    <w:rsid w:val="006136B0"/>
    <w:rsid w:val="0061609F"/>
    <w:rsid w:val="00634889"/>
    <w:rsid w:val="006448DE"/>
    <w:rsid w:val="00646CCE"/>
    <w:rsid w:val="00650B64"/>
    <w:rsid w:val="00652882"/>
    <w:rsid w:val="00653B72"/>
    <w:rsid w:val="00661BFD"/>
    <w:rsid w:val="00662C88"/>
    <w:rsid w:val="006710A9"/>
    <w:rsid w:val="00672B6D"/>
    <w:rsid w:val="006744B3"/>
    <w:rsid w:val="00685ACF"/>
    <w:rsid w:val="00690886"/>
    <w:rsid w:val="00697E72"/>
    <w:rsid w:val="006A5751"/>
    <w:rsid w:val="006A5C6B"/>
    <w:rsid w:val="006C0A46"/>
    <w:rsid w:val="006C1ADD"/>
    <w:rsid w:val="006C2214"/>
    <w:rsid w:val="006C72BF"/>
    <w:rsid w:val="006C7B76"/>
    <w:rsid w:val="006D159E"/>
    <w:rsid w:val="006D23CD"/>
    <w:rsid w:val="006E1F4F"/>
    <w:rsid w:val="006E2FE4"/>
    <w:rsid w:val="006E4139"/>
    <w:rsid w:val="006E71E4"/>
    <w:rsid w:val="006F73BD"/>
    <w:rsid w:val="00707A22"/>
    <w:rsid w:val="00711846"/>
    <w:rsid w:val="0071262F"/>
    <w:rsid w:val="0071270C"/>
    <w:rsid w:val="0072196A"/>
    <w:rsid w:val="0072343B"/>
    <w:rsid w:val="00724B60"/>
    <w:rsid w:val="0073299A"/>
    <w:rsid w:val="007433A0"/>
    <w:rsid w:val="00752453"/>
    <w:rsid w:val="00760F54"/>
    <w:rsid w:val="00776F01"/>
    <w:rsid w:val="007871DA"/>
    <w:rsid w:val="007914A4"/>
    <w:rsid w:val="007952CA"/>
    <w:rsid w:val="007A1404"/>
    <w:rsid w:val="007B0709"/>
    <w:rsid w:val="007B4D27"/>
    <w:rsid w:val="007C0B59"/>
    <w:rsid w:val="007C1681"/>
    <w:rsid w:val="007C287C"/>
    <w:rsid w:val="007C49A8"/>
    <w:rsid w:val="007E11D4"/>
    <w:rsid w:val="007F3E88"/>
    <w:rsid w:val="007F4852"/>
    <w:rsid w:val="00811FEE"/>
    <w:rsid w:val="008163DD"/>
    <w:rsid w:val="00822D91"/>
    <w:rsid w:val="00831F04"/>
    <w:rsid w:val="00840683"/>
    <w:rsid w:val="008463C0"/>
    <w:rsid w:val="008474C2"/>
    <w:rsid w:val="00856EDD"/>
    <w:rsid w:val="0086021C"/>
    <w:rsid w:val="0086493C"/>
    <w:rsid w:val="00866183"/>
    <w:rsid w:val="008728AD"/>
    <w:rsid w:val="0088305B"/>
    <w:rsid w:val="00886254"/>
    <w:rsid w:val="00886601"/>
    <w:rsid w:val="00891EF0"/>
    <w:rsid w:val="008B183B"/>
    <w:rsid w:val="009020D9"/>
    <w:rsid w:val="00922DFD"/>
    <w:rsid w:val="00923E5C"/>
    <w:rsid w:val="00930E9B"/>
    <w:rsid w:val="00931285"/>
    <w:rsid w:val="00936068"/>
    <w:rsid w:val="009521ED"/>
    <w:rsid w:val="0095304C"/>
    <w:rsid w:val="0096063D"/>
    <w:rsid w:val="00961788"/>
    <w:rsid w:val="00973133"/>
    <w:rsid w:val="00977129"/>
    <w:rsid w:val="00980777"/>
    <w:rsid w:val="009847CA"/>
    <w:rsid w:val="00993745"/>
    <w:rsid w:val="009A2C71"/>
    <w:rsid w:val="009A4CDD"/>
    <w:rsid w:val="009A7A49"/>
    <w:rsid w:val="009A7DE5"/>
    <w:rsid w:val="009B2C4B"/>
    <w:rsid w:val="009C2D24"/>
    <w:rsid w:val="009D0784"/>
    <w:rsid w:val="009D4262"/>
    <w:rsid w:val="009D4C63"/>
    <w:rsid w:val="00A01D6C"/>
    <w:rsid w:val="00A134DC"/>
    <w:rsid w:val="00A13568"/>
    <w:rsid w:val="00A23236"/>
    <w:rsid w:val="00A414A0"/>
    <w:rsid w:val="00A4276F"/>
    <w:rsid w:val="00A44305"/>
    <w:rsid w:val="00A62A73"/>
    <w:rsid w:val="00A70E39"/>
    <w:rsid w:val="00A7511B"/>
    <w:rsid w:val="00A80912"/>
    <w:rsid w:val="00A860EC"/>
    <w:rsid w:val="00AA29EB"/>
    <w:rsid w:val="00AA4B15"/>
    <w:rsid w:val="00AA5D3F"/>
    <w:rsid w:val="00AA6F60"/>
    <w:rsid w:val="00AA7859"/>
    <w:rsid w:val="00AB15E8"/>
    <w:rsid w:val="00AB6898"/>
    <w:rsid w:val="00AC28E1"/>
    <w:rsid w:val="00AC312B"/>
    <w:rsid w:val="00AC5FDD"/>
    <w:rsid w:val="00AC6F2B"/>
    <w:rsid w:val="00AD5512"/>
    <w:rsid w:val="00AD6464"/>
    <w:rsid w:val="00AD6C4D"/>
    <w:rsid w:val="00AD6CC9"/>
    <w:rsid w:val="00AE1ED5"/>
    <w:rsid w:val="00AE2C16"/>
    <w:rsid w:val="00AE43EC"/>
    <w:rsid w:val="00AE5951"/>
    <w:rsid w:val="00AE792F"/>
    <w:rsid w:val="00AF4C22"/>
    <w:rsid w:val="00AF6609"/>
    <w:rsid w:val="00B11282"/>
    <w:rsid w:val="00B15293"/>
    <w:rsid w:val="00B154D5"/>
    <w:rsid w:val="00B31D27"/>
    <w:rsid w:val="00B37786"/>
    <w:rsid w:val="00B41994"/>
    <w:rsid w:val="00B43822"/>
    <w:rsid w:val="00B52C52"/>
    <w:rsid w:val="00B6075F"/>
    <w:rsid w:val="00B763CB"/>
    <w:rsid w:val="00B76B66"/>
    <w:rsid w:val="00B811B9"/>
    <w:rsid w:val="00B831EB"/>
    <w:rsid w:val="00B9145C"/>
    <w:rsid w:val="00BA4BE1"/>
    <w:rsid w:val="00BA6B69"/>
    <w:rsid w:val="00BB262B"/>
    <w:rsid w:val="00BB4767"/>
    <w:rsid w:val="00BB5E3F"/>
    <w:rsid w:val="00BC555A"/>
    <w:rsid w:val="00BE4BAF"/>
    <w:rsid w:val="00BF02C2"/>
    <w:rsid w:val="00BF23C5"/>
    <w:rsid w:val="00BF3C13"/>
    <w:rsid w:val="00C12869"/>
    <w:rsid w:val="00C12F67"/>
    <w:rsid w:val="00C1315C"/>
    <w:rsid w:val="00C138D6"/>
    <w:rsid w:val="00C20B86"/>
    <w:rsid w:val="00C26D1E"/>
    <w:rsid w:val="00C33F07"/>
    <w:rsid w:val="00C371C9"/>
    <w:rsid w:val="00C42E09"/>
    <w:rsid w:val="00C43950"/>
    <w:rsid w:val="00C70EAF"/>
    <w:rsid w:val="00C74C0B"/>
    <w:rsid w:val="00C75639"/>
    <w:rsid w:val="00C872CE"/>
    <w:rsid w:val="00C91DBF"/>
    <w:rsid w:val="00C97D6D"/>
    <w:rsid w:val="00CA2EBE"/>
    <w:rsid w:val="00CA3C2A"/>
    <w:rsid w:val="00CA6C2C"/>
    <w:rsid w:val="00CA7B3D"/>
    <w:rsid w:val="00CB692E"/>
    <w:rsid w:val="00CC65D1"/>
    <w:rsid w:val="00CC7509"/>
    <w:rsid w:val="00CF6E4D"/>
    <w:rsid w:val="00CF7A06"/>
    <w:rsid w:val="00D07069"/>
    <w:rsid w:val="00D1059C"/>
    <w:rsid w:val="00D1421A"/>
    <w:rsid w:val="00D21495"/>
    <w:rsid w:val="00D21FE9"/>
    <w:rsid w:val="00D27889"/>
    <w:rsid w:val="00D3037F"/>
    <w:rsid w:val="00D32CC4"/>
    <w:rsid w:val="00D5359C"/>
    <w:rsid w:val="00D61EDC"/>
    <w:rsid w:val="00D63658"/>
    <w:rsid w:val="00D65427"/>
    <w:rsid w:val="00D7239C"/>
    <w:rsid w:val="00D76F8A"/>
    <w:rsid w:val="00D837E5"/>
    <w:rsid w:val="00DA15E4"/>
    <w:rsid w:val="00DB540C"/>
    <w:rsid w:val="00DD1D97"/>
    <w:rsid w:val="00DE272D"/>
    <w:rsid w:val="00DE4D49"/>
    <w:rsid w:val="00E13E6A"/>
    <w:rsid w:val="00E37829"/>
    <w:rsid w:val="00E533ED"/>
    <w:rsid w:val="00E57D22"/>
    <w:rsid w:val="00E644D3"/>
    <w:rsid w:val="00E714FF"/>
    <w:rsid w:val="00E74E93"/>
    <w:rsid w:val="00E77FAC"/>
    <w:rsid w:val="00EA4DD8"/>
    <w:rsid w:val="00EA7AC8"/>
    <w:rsid w:val="00EB5C14"/>
    <w:rsid w:val="00EC11D8"/>
    <w:rsid w:val="00EC5C49"/>
    <w:rsid w:val="00ED1814"/>
    <w:rsid w:val="00F221BD"/>
    <w:rsid w:val="00F25970"/>
    <w:rsid w:val="00F3793B"/>
    <w:rsid w:val="00F439F7"/>
    <w:rsid w:val="00F8674E"/>
    <w:rsid w:val="00F93DD8"/>
    <w:rsid w:val="00F967BF"/>
    <w:rsid w:val="00FA476F"/>
    <w:rsid w:val="00FC4E96"/>
    <w:rsid w:val="00FC56B0"/>
    <w:rsid w:val="00FD100B"/>
    <w:rsid w:val="00FD42B2"/>
    <w:rsid w:val="00FF3AFF"/>
    <w:rsid w:val="00FF5422"/>
    <w:rsid w:val="00FF7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1C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47991"/>
    <w:rPr>
      <w:sz w:val="20"/>
      <w:szCs w:val="20"/>
    </w:rPr>
  </w:style>
  <w:style w:type="table" w:styleId="TableElegant">
    <w:name w:val="Table Elegant"/>
    <w:basedOn w:val="TableNormal"/>
    <w:rsid w:val="0024799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247991"/>
    <w:pPr>
      <w:autoSpaceDE w:val="0"/>
      <w:autoSpaceDN w:val="0"/>
      <w:adjustRightInd w:val="0"/>
    </w:pPr>
    <w:rPr>
      <w:rFonts w:ascii="Arial Narrow" w:hAnsi="Arial Narrow" w:cs="Arial Narrow"/>
      <w:color w:val="000000"/>
      <w:sz w:val="24"/>
      <w:szCs w:val="24"/>
    </w:rPr>
  </w:style>
  <w:style w:type="paragraph" w:styleId="Footer">
    <w:name w:val="footer"/>
    <w:basedOn w:val="Normal"/>
    <w:link w:val="FooterChar"/>
    <w:uiPriority w:val="99"/>
    <w:rsid w:val="004C6C48"/>
    <w:pPr>
      <w:tabs>
        <w:tab w:val="center" w:pos="4320"/>
        <w:tab w:val="right" w:pos="8640"/>
      </w:tabs>
    </w:pPr>
  </w:style>
  <w:style w:type="character" w:styleId="PageNumber">
    <w:name w:val="page number"/>
    <w:basedOn w:val="DefaultParagraphFont"/>
    <w:rsid w:val="004C6C48"/>
  </w:style>
  <w:style w:type="table" w:styleId="TableContemporary">
    <w:name w:val="Table Contemporary"/>
    <w:basedOn w:val="TableNormal"/>
    <w:rsid w:val="005379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7C4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F6E4D"/>
    <w:pPr>
      <w:spacing w:after="120"/>
    </w:pPr>
  </w:style>
  <w:style w:type="table" w:styleId="TableColumns5">
    <w:name w:val="Table Columns 5"/>
    <w:basedOn w:val="TableNormal"/>
    <w:rsid w:val="0055359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NormalWeb1">
    <w:name w:val="Normal (Web)1"/>
    <w:basedOn w:val="Normal"/>
    <w:rsid w:val="0055359F"/>
    <w:pPr>
      <w:spacing w:after="300" w:line="300" w:lineRule="atLeast"/>
    </w:pPr>
  </w:style>
  <w:style w:type="character" w:styleId="FootnoteReference">
    <w:name w:val="footnote reference"/>
    <w:basedOn w:val="DefaultParagraphFont"/>
    <w:semiHidden/>
    <w:rsid w:val="0053371E"/>
    <w:rPr>
      <w:vertAlign w:val="superscript"/>
    </w:rPr>
  </w:style>
  <w:style w:type="table" w:styleId="TableWeb3">
    <w:name w:val="Table Web 3"/>
    <w:basedOn w:val="TableNormal"/>
    <w:rsid w:val="0007475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anuscript">
    <w:name w:val="Manuscript"/>
    <w:basedOn w:val="Normal"/>
    <w:rsid w:val="00090F6E"/>
    <w:pPr>
      <w:spacing w:line="480" w:lineRule="auto"/>
    </w:pPr>
    <w:rPr>
      <w:rFonts w:ascii="Century" w:hAnsi="Century"/>
    </w:rPr>
  </w:style>
  <w:style w:type="paragraph" w:customStyle="1" w:styleId="MTDisplayEquation">
    <w:name w:val="MTDisplayEquation"/>
    <w:basedOn w:val="Manuscript"/>
    <w:rsid w:val="00090F6E"/>
    <w:pPr>
      <w:tabs>
        <w:tab w:val="center" w:pos="4320"/>
        <w:tab w:val="right" w:pos="8640"/>
      </w:tabs>
    </w:pPr>
  </w:style>
  <w:style w:type="paragraph" w:styleId="BodyTextIndent">
    <w:name w:val="Body Text Indent"/>
    <w:basedOn w:val="Normal"/>
    <w:link w:val="BodyTextIndentChar"/>
    <w:rsid w:val="007914A4"/>
    <w:pPr>
      <w:spacing w:after="120"/>
      <w:ind w:left="283"/>
    </w:pPr>
  </w:style>
  <w:style w:type="character" w:styleId="Hyperlink">
    <w:name w:val="Hyperlink"/>
    <w:basedOn w:val="DefaultParagraphFont"/>
    <w:rsid w:val="002E3EC2"/>
    <w:rPr>
      <w:color w:val="0000FF"/>
      <w:u w:val="single"/>
    </w:rPr>
  </w:style>
  <w:style w:type="character" w:styleId="Strong">
    <w:name w:val="Strong"/>
    <w:basedOn w:val="DefaultParagraphFont"/>
    <w:qFormat/>
    <w:rsid w:val="002E3EC2"/>
    <w:rPr>
      <w:b/>
      <w:bCs/>
    </w:rPr>
  </w:style>
  <w:style w:type="paragraph" w:styleId="Header">
    <w:name w:val="header"/>
    <w:basedOn w:val="Normal"/>
    <w:link w:val="HeaderChar"/>
    <w:rsid w:val="00D837E5"/>
    <w:pPr>
      <w:tabs>
        <w:tab w:val="center" w:pos="4680"/>
        <w:tab w:val="right" w:pos="9360"/>
      </w:tabs>
    </w:pPr>
  </w:style>
  <w:style w:type="character" w:customStyle="1" w:styleId="HeaderChar">
    <w:name w:val="Header Char"/>
    <w:basedOn w:val="DefaultParagraphFont"/>
    <w:link w:val="Header"/>
    <w:rsid w:val="00D837E5"/>
    <w:rPr>
      <w:sz w:val="24"/>
      <w:szCs w:val="24"/>
    </w:rPr>
  </w:style>
  <w:style w:type="character" w:customStyle="1" w:styleId="FooterChar">
    <w:name w:val="Footer Char"/>
    <w:basedOn w:val="DefaultParagraphFont"/>
    <w:link w:val="Footer"/>
    <w:uiPriority w:val="99"/>
    <w:rsid w:val="00D837E5"/>
    <w:rPr>
      <w:sz w:val="24"/>
      <w:szCs w:val="24"/>
    </w:rPr>
  </w:style>
  <w:style w:type="paragraph" w:styleId="BalloonText">
    <w:name w:val="Balloon Text"/>
    <w:basedOn w:val="Normal"/>
    <w:link w:val="BalloonTextChar"/>
    <w:rsid w:val="005819FC"/>
    <w:rPr>
      <w:rFonts w:ascii="Tahoma" w:hAnsi="Tahoma" w:cs="Tahoma"/>
      <w:sz w:val="16"/>
      <w:szCs w:val="16"/>
    </w:rPr>
  </w:style>
  <w:style w:type="character" w:customStyle="1" w:styleId="BalloonTextChar">
    <w:name w:val="Balloon Text Char"/>
    <w:basedOn w:val="DefaultParagraphFont"/>
    <w:link w:val="BalloonText"/>
    <w:rsid w:val="005819FC"/>
    <w:rPr>
      <w:rFonts w:ascii="Tahoma" w:hAnsi="Tahoma" w:cs="Tahoma"/>
      <w:sz w:val="16"/>
      <w:szCs w:val="16"/>
      <w:lang w:val="en-GB"/>
    </w:rPr>
  </w:style>
  <w:style w:type="character" w:customStyle="1" w:styleId="BodyTextIndentChar">
    <w:name w:val="Body Text Indent Char"/>
    <w:basedOn w:val="DefaultParagraphFont"/>
    <w:link w:val="BodyTextIndent"/>
    <w:rsid w:val="00AC6F2B"/>
    <w:rPr>
      <w:sz w:val="24"/>
      <w:szCs w:val="24"/>
      <w:lang w:val="en-GB"/>
    </w:rPr>
  </w:style>
</w:styles>
</file>

<file path=word/webSettings.xml><?xml version="1.0" encoding="utf-8"?>
<w:webSettings xmlns:r="http://schemas.openxmlformats.org/officeDocument/2006/relationships" xmlns:w="http://schemas.openxmlformats.org/wordprocessingml/2006/main">
  <w:divs>
    <w:div w:id="279269072">
      <w:bodyDiv w:val="1"/>
      <w:marLeft w:val="0"/>
      <w:marRight w:val="0"/>
      <w:marTop w:val="0"/>
      <w:marBottom w:val="0"/>
      <w:divBdr>
        <w:top w:val="none" w:sz="0" w:space="0" w:color="auto"/>
        <w:left w:val="none" w:sz="0" w:space="0" w:color="auto"/>
        <w:bottom w:val="none" w:sz="0" w:space="0" w:color="auto"/>
        <w:right w:val="none" w:sz="0" w:space="0" w:color="auto"/>
      </w:divBdr>
    </w:div>
    <w:div w:id="332536634">
      <w:bodyDiv w:val="1"/>
      <w:marLeft w:val="0"/>
      <w:marRight w:val="0"/>
      <w:marTop w:val="0"/>
      <w:marBottom w:val="0"/>
      <w:divBdr>
        <w:top w:val="none" w:sz="0" w:space="0" w:color="auto"/>
        <w:left w:val="none" w:sz="0" w:space="0" w:color="auto"/>
        <w:bottom w:val="none" w:sz="0" w:space="0" w:color="auto"/>
        <w:right w:val="none" w:sz="0" w:space="0" w:color="auto"/>
      </w:divBdr>
    </w:div>
    <w:div w:id="1104228984">
      <w:bodyDiv w:val="1"/>
      <w:marLeft w:val="0"/>
      <w:marRight w:val="0"/>
      <w:marTop w:val="0"/>
      <w:marBottom w:val="0"/>
      <w:divBdr>
        <w:top w:val="none" w:sz="0" w:space="0" w:color="auto"/>
        <w:left w:val="none" w:sz="0" w:space="0" w:color="auto"/>
        <w:bottom w:val="none" w:sz="0" w:space="0" w:color="auto"/>
        <w:right w:val="none" w:sz="0" w:space="0" w:color="auto"/>
      </w:divBdr>
    </w:div>
    <w:div w:id="1341856429">
      <w:bodyDiv w:val="1"/>
      <w:marLeft w:val="0"/>
      <w:marRight w:val="0"/>
      <w:marTop w:val="0"/>
      <w:marBottom w:val="0"/>
      <w:divBdr>
        <w:top w:val="none" w:sz="0" w:space="0" w:color="auto"/>
        <w:left w:val="none" w:sz="0" w:space="0" w:color="auto"/>
        <w:bottom w:val="none" w:sz="0" w:space="0" w:color="auto"/>
        <w:right w:val="none" w:sz="0" w:space="0" w:color="auto"/>
      </w:divBdr>
    </w:div>
    <w:div w:id="1985773253">
      <w:bodyDiv w:val="1"/>
      <w:marLeft w:val="0"/>
      <w:marRight w:val="0"/>
      <w:marTop w:val="0"/>
      <w:marBottom w:val="0"/>
      <w:divBdr>
        <w:top w:val="none" w:sz="0" w:space="0" w:color="auto"/>
        <w:left w:val="none" w:sz="0" w:space="0" w:color="auto"/>
        <w:bottom w:val="none" w:sz="0" w:space="0" w:color="auto"/>
        <w:right w:val="none" w:sz="0" w:space="0" w:color="auto"/>
      </w:divBdr>
    </w:div>
    <w:div w:id="2126609934">
      <w:bodyDiv w:val="1"/>
      <w:marLeft w:val="0"/>
      <w:marRight w:val="0"/>
      <w:marTop w:val="0"/>
      <w:marBottom w:val="0"/>
      <w:divBdr>
        <w:top w:val="none" w:sz="0" w:space="0" w:color="auto"/>
        <w:left w:val="none" w:sz="0" w:space="0" w:color="auto"/>
        <w:bottom w:val="none" w:sz="0" w:space="0" w:color="auto"/>
        <w:right w:val="none" w:sz="0" w:space="0" w:color="auto"/>
      </w:divBdr>
    </w:div>
    <w:div w:id="21280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oleObject" Target="embeddings/oleObject26.bin"/><Relationship Id="rId68" Type="http://schemas.openxmlformats.org/officeDocument/2006/relationships/image" Target="media/image30.emf"/><Relationship Id="rId76" Type="http://schemas.openxmlformats.org/officeDocument/2006/relationships/oleObject" Target="embeddings/oleObject28.bin"/><Relationship Id="rId7" Type="http://schemas.openxmlformats.org/officeDocument/2006/relationships/hyperlink" Target="mailto:eric.oleye@yahoo.com" TargetMode="External"/><Relationship Id="rId71" Type="http://schemas.openxmlformats.org/officeDocument/2006/relationships/image" Target="media/image33.emf"/><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footer" Target="footer1.xml"/><Relationship Id="rId66" Type="http://schemas.openxmlformats.org/officeDocument/2006/relationships/image" Target="media/image28.emf"/><Relationship Id="rId74" Type="http://schemas.openxmlformats.org/officeDocument/2006/relationships/image" Target="media/image36.emf"/><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5.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image" Target="media/image35.emf"/><Relationship Id="rId78" Type="http://schemas.openxmlformats.org/officeDocument/2006/relationships/hyperlink" Target="http://ideas.repec.org/s/sol/wpaper.html"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7.wmf"/><Relationship Id="rId69" Type="http://schemas.openxmlformats.org/officeDocument/2006/relationships/image" Target="media/image31.emf"/><Relationship Id="rId77" Type="http://schemas.openxmlformats.org/officeDocument/2006/relationships/hyperlink" Target="http://ideas.repec.org/p/sol/wpaper/04-025.html" TargetMode="External"/><Relationship Id="rId8" Type="http://schemas.openxmlformats.org/officeDocument/2006/relationships/chart" Target="charts/chart1.xml"/><Relationship Id="rId51" Type="http://schemas.openxmlformats.org/officeDocument/2006/relationships/oleObject" Target="embeddings/oleObject21.bin"/><Relationship Id="rId72" Type="http://schemas.openxmlformats.org/officeDocument/2006/relationships/image" Target="media/image34.e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footer" Target="footer2.xml"/><Relationship Id="rId67" Type="http://schemas.openxmlformats.org/officeDocument/2006/relationships/image" Target="media/image29.emf"/><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6.wmf"/><Relationship Id="rId70" Type="http://schemas.openxmlformats.org/officeDocument/2006/relationships/image" Target="media/image32.emf"/><Relationship Id="rId75"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Eric%20K.%20O'Leye\Desktop\FDI%20Data\Global%20Nominal%20Inwa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ic%20K.%20O'Leye\Documents\My%20Flash%201\Thesis%20Background\South%20Africa\Book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400">
                <a:latin typeface="Garamond" pitchFamily="18" charset="0"/>
              </a:rPr>
              <a:t>Figure 1: FDI Inflows to Developing Regions, 1970-2009. </a:t>
            </a:r>
          </a:p>
        </c:rich>
      </c:tx>
    </c:title>
    <c:plotArea>
      <c:layout/>
      <c:lineChart>
        <c:grouping val="standard"/>
        <c:ser>
          <c:idx val="0"/>
          <c:order val="0"/>
          <c:tx>
            <c:strRef>
              <c:f>Sheet1!$A$2</c:f>
              <c:strCache>
                <c:ptCount val="1"/>
                <c:pt idx="0">
                  <c:v>Africa</c:v>
                </c:pt>
              </c:strCache>
            </c:strRef>
          </c:tx>
          <c:cat>
            <c:strRef>
              <c:f>Sheet1!$B$1:$AO$1</c:f>
              <c:strCach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strCache>
            </c:strRef>
          </c:cat>
          <c:val>
            <c:numRef>
              <c:f>Sheet1!$B$2:$AO$2</c:f>
              <c:numCache>
                <c:formatCode>General</c:formatCode>
                <c:ptCount val="40"/>
                <c:pt idx="0">
                  <c:v>1266.0959875992999</c:v>
                </c:pt>
                <c:pt idx="1">
                  <c:v>840.66202339439917</c:v>
                </c:pt>
                <c:pt idx="2">
                  <c:v>918.68602968579933</c:v>
                </c:pt>
                <c:pt idx="3">
                  <c:v>764.17302518029999</c:v>
                </c:pt>
                <c:pt idx="4">
                  <c:v>1817.6436362672996</c:v>
                </c:pt>
                <c:pt idx="5">
                  <c:v>906.12280770459938</c:v>
                </c:pt>
                <c:pt idx="6">
                  <c:v>1679.390004599999</c:v>
                </c:pt>
                <c:pt idx="7">
                  <c:v>781.05518319809948</c:v>
                </c:pt>
                <c:pt idx="8">
                  <c:v>784.34487046460004</c:v>
                </c:pt>
                <c:pt idx="9">
                  <c:v>1483.5643825365985</c:v>
                </c:pt>
                <c:pt idx="10">
                  <c:v>400.35188477849999</c:v>
                </c:pt>
                <c:pt idx="11">
                  <c:v>1952.9188328226001</c:v>
                </c:pt>
                <c:pt idx="12">
                  <c:v>2074.0910218789022</c:v>
                </c:pt>
                <c:pt idx="13">
                  <c:v>1322.993805955</c:v>
                </c:pt>
                <c:pt idx="14">
                  <c:v>1884.8698562151999</c:v>
                </c:pt>
                <c:pt idx="15">
                  <c:v>2443.3237414476002</c:v>
                </c:pt>
                <c:pt idx="16">
                  <c:v>1770.4857551440023</c:v>
                </c:pt>
                <c:pt idx="17">
                  <c:v>2443.144441664896</c:v>
                </c:pt>
                <c:pt idx="18">
                  <c:v>3031.9563613695</c:v>
                </c:pt>
                <c:pt idx="19">
                  <c:v>4693.2343475681955</c:v>
                </c:pt>
                <c:pt idx="20">
                  <c:v>2845.011236048003</c:v>
                </c:pt>
                <c:pt idx="21">
                  <c:v>3534.8618610450999</c:v>
                </c:pt>
                <c:pt idx="22">
                  <c:v>3800.3858817523997</c:v>
                </c:pt>
                <c:pt idx="23">
                  <c:v>5443.1394191886002</c:v>
                </c:pt>
                <c:pt idx="24">
                  <c:v>6104.8344105227998</c:v>
                </c:pt>
                <c:pt idx="25">
                  <c:v>5655.3965356510062</c:v>
                </c:pt>
                <c:pt idx="26">
                  <c:v>5957.0368189787996</c:v>
                </c:pt>
                <c:pt idx="27">
                  <c:v>11032.577444217804</c:v>
                </c:pt>
                <c:pt idx="28">
                  <c:v>9592.9151446580854</c:v>
                </c:pt>
                <c:pt idx="29">
                  <c:v>11962.2818598879</c:v>
                </c:pt>
                <c:pt idx="30">
                  <c:v>9828.9940150787006</c:v>
                </c:pt>
                <c:pt idx="31">
                  <c:v>19995.265574884801</c:v>
                </c:pt>
                <c:pt idx="32">
                  <c:v>16073.8721953596</c:v>
                </c:pt>
                <c:pt idx="33">
                  <c:v>20417.607319016897</c:v>
                </c:pt>
                <c:pt idx="34">
                  <c:v>21735.345117323399</c:v>
                </c:pt>
                <c:pt idx="35">
                  <c:v>38197.196357489098</c:v>
                </c:pt>
                <c:pt idx="36">
                  <c:v>55382.406007971702</c:v>
                </c:pt>
                <c:pt idx="37">
                  <c:v>63091.808712642203</c:v>
                </c:pt>
                <c:pt idx="38">
                  <c:v>72178.781642881906</c:v>
                </c:pt>
                <c:pt idx="39">
                  <c:v>58564.610497732385</c:v>
                </c:pt>
              </c:numCache>
            </c:numRef>
          </c:val>
        </c:ser>
        <c:ser>
          <c:idx val="1"/>
          <c:order val="1"/>
          <c:tx>
            <c:strRef>
              <c:f>Sheet1!$A$3</c:f>
              <c:strCache>
                <c:ptCount val="1"/>
                <c:pt idx="0">
                  <c:v>America</c:v>
                </c:pt>
              </c:strCache>
            </c:strRef>
          </c:tx>
          <c:cat>
            <c:strRef>
              <c:f>Sheet1!$B$1:$AO$1</c:f>
              <c:strCach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strCache>
            </c:strRef>
          </c:cat>
          <c:val>
            <c:numRef>
              <c:f>Sheet1!$B$3:$AO$3</c:f>
              <c:numCache>
                <c:formatCode>General</c:formatCode>
                <c:ptCount val="40"/>
                <c:pt idx="0">
                  <c:v>1598.59851</c:v>
                </c:pt>
                <c:pt idx="1">
                  <c:v>1941.1675</c:v>
                </c:pt>
                <c:pt idx="2">
                  <c:v>987.67651000000001</c:v>
                </c:pt>
                <c:pt idx="3">
                  <c:v>2622.9654999999998</c:v>
                </c:pt>
                <c:pt idx="4">
                  <c:v>2224.2515100000023</c:v>
                </c:pt>
                <c:pt idx="5">
                  <c:v>3514.3380099999999</c:v>
                </c:pt>
                <c:pt idx="6">
                  <c:v>3139.3785100000023</c:v>
                </c:pt>
                <c:pt idx="7">
                  <c:v>3131.7670199999998</c:v>
                </c:pt>
                <c:pt idx="8">
                  <c:v>4222.3800200000014</c:v>
                </c:pt>
                <c:pt idx="9">
                  <c:v>4801.8280200000045</c:v>
                </c:pt>
                <c:pt idx="10">
                  <c:v>6415.8133533332975</c:v>
                </c:pt>
                <c:pt idx="11">
                  <c:v>8624.1690199999903</c:v>
                </c:pt>
                <c:pt idx="12">
                  <c:v>7025.8886766667047</c:v>
                </c:pt>
                <c:pt idx="13">
                  <c:v>5174.3390100000006</c:v>
                </c:pt>
                <c:pt idx="14">
                  <c:v>3999.3114544444024</c:v>
                </c:pt>
                <c:pt idx="15">
                  <c:v>6223.0650100000003</c:v>
                </c:pt>
                <c:pt idx="16">
                  <c:v>4639.2523100000008</c:v>
                </c:pt>
                <c:pt idx="17">
                  <c:v>5772.6430857959995</c:v>
                </c:pt>
                <c:pt idx="18">
                  <c:v>9123.2690266348</c:v>
                </c:pt>
                <c:pt idx="19">
                  <c:v>8766.652538999997</c:v>
                </c:pt>
                <c:pt idx="20">
                  <c:v>8926.0589807999895</c:v>
                </c:pt>
                <c:pt idx="21">
                  <c:v>11610.9211649259</c:v>
                </c:pt>
                <c:pt idx="22">
                  <c:v>16149.781367598709</c:v>
                </c:pt>
                <c:pt idx="23">
                  <c:v>15133.744687365312</c:v>
                </c:pt>
                <c:pt idx="24">
                  <c:v>29007.475577453992</c:v>
                </c:pt>
                <c:pt idx="25">
                  <c:v>29513.008028981098</c:v>
                </c:pt>
                <c:pt idx="26">
                  <c:v>46262.898641466199</c:v>
                </c:pt>
                <c:pt idx="27">
                  <c:v>73504.459328036595</c:v>
                </c:pt>
                <c:pt idx="28">
                  <c:v>85466.629462326775</c:v>
                </c:pt>
                <c:pt idx="29">
                  <c:v>104083.4064901954</c:v>
                </c:pt>
                <c:pt idx="30">
                  <c:v>97672.45161507673</c:v>
                </c:pt>
                <c:pt idx="31">
                  <c:v>80434.887275218978</c:v>
                </c:pt>
                <c:pt idx="32">
                  <c:v>58513.958892431037</c:v>
                </c:pt>
                <c:pt idx="33">
                  <c:v>45954.957919523302</c:v>
                </c:pt>
                <c:pt idx="34">
                  <c:v>95221.19328381223</c:v>
                </c:pt>
                <c:pt idx="35">
                  <c:v>75918.607823551894</c:v>
                </c:pt>
                <c:pt idx="36">
                  <c:v>94557.080713662202</c:v>
                </c:pt>
                <c:pt idx="37">
                  <c:v>163612.24125235991</c:v>
                </c:pt>
                <c:pt idx="38">
                  <c:v>183195.00704995994</c:v>
                </c:pt>
                <c:pt idx="39">
                  <c:v>116554.60879334107</c:v>
                </c:pt>
              </c:numCache>
            </c:numRef>
          </c:val>
        </c:ser>
        <c:ser>
          <c:idx val="2"/>
          <c:order val="2"/>
          <c:tx>
            <c:strRef>
              <c:f>Sheet1!$A$4</c:f>
              <c:strCache>
                <c:ptCount val="1"/>
                <c:pt idx="0">
                  <c:v>Asia</c:v>
                </c:pt>
              </c:strCache>
            </c:strRef>
          </c:tx>
          <c:cat>
            <c:strRef>
              <c:f>Sheet1!$B$1:$AO$1</c:f>
              <c:strCach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strCache>
            </c:strRef>
          </c:cat>
          <c:val>
            <c:numRef>
              <c:f>Sheet1!$B$4:$AO$4</c:f>
              <c:numCache>
                <c:formatCode>General</c:formatCode>
                <c:ptCount val="40"/>
                <c:pt idx="0">
                  <c:v>853.59496268020007</c:v>
                </c:pt>
                <c:pt idx="1">
                  <c:v>795.77877819840069</c:v>
                </c:pt>
                <c:pt idx="2">
                  <c:v>1422.8526739260001</c:v>
                </c:pt>
                <c:pt idx="3">
                  <c:v>1647.7599630290001</c:v>
                </c:pt>
                <c:pt idx="4">
                  <c:v>-1665.2759306268001</c:v>
                </c:pt>
                <c:pt idx="5">
                  <c:v>5265.4932383379992</c:v>
                </c:pt>
                <c:pt idx="6">
                  <c:v>1604.7399909427011</c:v>
                </c:pt>
                <c:pt idx="7">
                  <c:v>3031.4402824634999</c:v>
                </c:pt>
                <c:pt idx="8">
                  <c:v>3919.1052257724</c:v>
                </c:pt>
                <c:pt idx="9">
                  <c:v>2145.919339534104</c:v>
                </c:pt>
                <c:pt idx="10">
                  <c:v>542.59407603870056</c:v>
                </c:pt>
                <c:pt idx="11">
                  <c:v>13328.571581929</c:v>
                </c:pt>
                <c:pt idx="12">
                  <c:v>17136.243767652901</c:v>
                </c:pt>
                <c:pt idx="13">
                  <c:v>10893.666193544585</c:v>
                </c:pt>
                <c:pt idx="14">
                  <c:v>11556.643696049099</c:v>
                </c:pt>
                <c:pt idx="15">
                  <c:v>5397.4743065165985</c:v>
                </c:pt>
                <c:pt idx="16">
                  <c:v>9254.2509470634905</c:v>
                </c:pt>
                <c:pt idx="17">
                  <c:v>13441.450826836402</c:v>
                </c:pt>
                <c:pt idx="18">
                  <c:v>17963.984098173718</c:v>
                </c:pt>
                <c:pt idx="19">
                  <c:v>16948.345422358299</c:v>
                </c:pt>
                <c:pt idx="20">
                  <c:v>22628.361728259701</c:v>
                </c:pt>
                <c:pt idx="21">
                  <c:v>24155.804032303098</c:v>
                </c:pt>
                <c:pt idx="22">
                  <c:v>32994.917093657401</c:v>
                </c:pt>
                <c:pt idx="23">
                  <c:v>55973.246417237897</c:v>
                </c:pt>
                <c:pt idx="24">
                  <c:v>68103.41253327814</c:v>
                </c:pt>
                <c:pt idx="25">
                  <c:v>80084.326678970538</c:v>
                </c:pt>
                <c:pt idx="26">
                  <c:v>94185.845419414007</c:v>
                </c:pt>
                <c:pt idx="27">
                  <c:v>105813.8223417141</c:v>
                </c:pt>
                <c:pt idx="28">
                  <c:v>95296.601050502693</c:v>
                </c:pt>
                <c:pt idx="29">
                  <c:v>111536.78328856363</c:v>
                </c:pt>
                <c:pt idx="30">
                  <c:v>148735.07668610176</c:v>
                </c:pt>
                <c:pt idx="31">
                  <c:v>114039.86585341663</c:v>
                </c:pt>
                <c:pt idx="32">
                  <c:v>101344.5821372457</c:v>
                </c:pt>
                <c:pt idx="33">
                  <c:v>117179.83684713913</c:v>
                </c:pt>
                <c:pt idx="34">
                  <c:v>174589.79229854239</c:v>
                </c:pt>
                <c:pt idx="35">
                  <c:v>215768.80038216169</c:v>
                </c:pt>
                <c:pt idx="36">
                  <c:v>283112.82454293937</c:v>
                </c:pt>
                <c:pt idx="37">
                  <c:v>336922.38653942861</c:v>
                </c:pt>
                <c:pt idx="38">
                  <c:v>372738.9485454699</c:v>
                </c:pt>
                <c:pt idx="39">
                  <c:v>301366.54334464052</c:v>
                </c:pt>
              </c:numCache>
            </c:numRef>
          </c:val>
        </c:ser>
        <c:marker val="1"/>
        <c:axId val="50092672"/>
        <c:axId val="50120192"/>
      </c:lineChart>
      <c:catAx>
        <c:axId val="50092672"/>
        <c:scaling>
          <c:orientation val="minMax"/>
        </c:scaling>
        <c:axPos val="b"/>
        <c:title>
          <c:tx>
            <c:rich>
              <a:bodyPr/>
              <a:lstStyle/>
              <a:p>
                <a:pPr>
                  <a:defRPr lang="en-US">
                    <a:latin typeface="Garamond" pitchFamily="18" charset="0"/>
                  </a:defRPr>
                </a:pPr>
                <a:r>
                  <a:rPr lang="en-US">
                    <a:latin typeface="Garamond" pitchFamily="18" charset="0"/>
                  </a:rPr>
                  <a:t>Year</a:t>
                </a:r>
              </a:p>
            </c:rich>
          </c:tx>
        </c:title>
        <c:tickLblPos val="nextTo"/>
        <c:txPr>
          <a:bodyPr/>
          <a:lstStyle/>
          <a:p>
            <a:pPr>
              <a:defRPr lang="en-US" b="1">
                <a:latin typeface="Garamond" pitchFamily="18" charset="0"/>
              </a:defRPr>
            </a:pPr>
            <a:endParaRPr lang="en-US"/>
          </a:p>
        </c:txPr>
        <c:crossAx val="50120192"/>
        <c:crosses val="autoZero"/>
        <c:auto val="1"/>
        <c:lblAlgn val="ctr"/>
        <c:lblOffset val="100"/>
      </c:catAx>
      <c:valAx>
        <c:axId val="50120192"/>
        <c:scaling>
          <c:orientation val="minMax"/>
        </c:scaling>
        <c:axPos val="l"/>
        <c:majorGridlines/>
        <c:title>
          <c:tx>
            <c:rich>
              <a:bodyPr rot="-5400000" vert="horz"/>
              <a:lstStyle/>
              <a:p>
                <a:pPr>
                  <a:defRPr lang="en-US">
                    <a:latin typeface="Garamond" pitchFamily="18" charset="0"/>
                  </a:defRPr>
                </a:pPr>
                <a:r>
                  <a:rPr lang="en-US">
                    <a:latin typeface="Garamond" pitchFamily="18" charset="0"/>
                  </a:rPr>
                  <a:t>$ Million</a:t>
                </a:r>
              </a:p>
            </c:rich>
          </c:tx>
        </c:title>
        <c:numFmt formatCode="General" sourceLinked="1"/>
        <c:tickLblPos val="nextTo"/>
        <c:txPr>
          <a:bodyPr/>
          <a:lstStyle/>
          <a:p>
            <a:pPr>
              <a:defRPr lang="en-US" b="1">
                <a:latin typeface="Garamond" pitchFamily="18" charset="0"/>
              </a:defRPr>
            </a:pPr>
            <a:endParaRPr lang="en-US"/>
          </a:p>
        </c:txPr>
        <c:crossAx val="50092672"/>
        <c:crosses val="autoZero"/>
        <c:crossBetween val="between"/>
      </c:valAx>
    </c:plotArea>
    <c:legend>
      <c:legendPos val="r"/>
      <c:txPr>
        <a:bodyPr/>
        <a:lstStyle/>
        <a:p>
          <a:pPr>
            <a:defRPr lang="en-US" b="1">
              <a:latin typeface="Garamond" pitchFamily="18" charset="0"/>
            </a:defRPr>
          </a:pPr>
          <a:endParaRPr lang="en-US"/>
        </a:p>
      </c:txPr>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lang="en-US"/>
            </a:pPr>
            <a:r>
              <a:rPr lang="en-US" sz="1100">
                <a:latin typeface="Garamond" pitchFamily="18" charset="0"/>
              </a:rPr>
              <a:t>Figure 3: South African FDI as a percentage of total FDI in Selected SADC Countries, 1994 to 2003</a:t>
            </a:r>
          </a:p>
        </c:rich>
      </c:tx>
    </c:title>
    <c:view3D>
      <c:depthPercent val="100"/>
      <c:rAngAx val="1"/>
    </c:view3D>
    <c:plotArea>
      <c:layout/>
      <c:bar3DChart>
        <c:barDir val="col"/>
        <c:grouping val="clustered"/>
        <c:ser>
          <c:idx val="0"/>
          <c:order val="0"/>
          <c:cat>
            <c:strRef>
              <c:f>Sheet1!$A$2:$A$11</c:f>
              <c:strCache>
                <c:ptCount val="10"/>
                <c:pt idx="0">
                  <c:v>Lesotho </c:v>
                </c:pt>
                <c:pt idx="1">
                  <c:v>Malawi</c:v>
                </c:pt>
                <c:pt idx="2">
                  <c:v>DRC </c:v>
                </c:pt>
                <c:pt idx="3">
                  <c:v>Swaziland </c:v>
                </c:pt>
                <c:pt idx="4">
                  <c:v>Botswana</c:v>
                </c:pt>
                <c:pt idx="5">
                  <c:v>Tanzania</c:v>
                </c:pt>
                <c:pt idx="6">
                  <c:v>Mozambique</c:v>
                </c:pt>
                <c:pt idx="7">
                  <c:v>Zambia</c:v>
                </c:pt>
                <c:pt idx="8">
                  <c:v>Zimbabwe</c:v>
                </c:pt>
                <c:pt idx="9">
                  <c:v>Namibia</c:v>
                </c:pt>
              </c:strCache>
            </c:strRef>
          </c:cat>
          <c:val>
            <c:numRef>
              <c:f>Sheet1!$B$2:$B$11</c:f>
              <c:numCache>
                <c:formatCode>0%</c:formatCode>
                <c:ptCount val="10"/>
                <c:pt idx="0">
                  <c:v>0.86000000000000065</c:v>
                </c:pt>
                <c:pt idx="1">
                  <c:v>0.8</c:v>
                </c:pt>
                <c:pt idx="2">
                  <c:v>0.71000000000000063</c:v>
                </c:pt>
                <c:pt idx="3">
                  <c:v>0.71000000000000063</c:v>
                </c:pt>
                <c:pt idx="4">
                  <c:v>0.58000000000000007</c:v>
                </c:pt>
                <c:pt idx="5">
                  <c:v>0.35000000000000031</c:v>
                </c:pt>
                <c:pt idx="6">
                  <c:v>0.31000000000000039</c:v>
                </c:pt>
                <c:pt idx="7">
                  <c:v>0.29000000000000031</c:v>
                </c:pt>
                <c:pt idx="8">
                  <c:v>0.24000000000000019</c:v>
                </c:pt>
                <c:pt idx="9">
                  <c:v>0.21000000000000019</c:v>
                </c:pt>
              </c:numCache>
            </c:numRef>
          </c:val>
        </c:ser>
        <c:gapWidth val="75"/>
        <c:shape val="pyramid"/>
        <c:axId val="53396608"/>
        <c:axId val="53398528"/>
        <c:axId val="0"/>
      </c:bar3DChart>
      <c:catAx>
        <c:axId val="53396608"/>
        <c:scaling>
          <c:orientation val="minMax"/>
        </c:scaling>
        <c:axPos val="b"/>
        <c:title>
          <c:tx>
            <c:rich>
              <a:bodyPr/>
              <a:lstStyle/>
              <a:p>
                <a:pPr>
                  <a:defRPr lang="en-US">
                    <a:latin typeface="Garamond" pitchFamily="18" charset="0"/>
                  </a:defRPr>
                </a:pPr>
                <a:r>
                  <a:rPr lang="en-US">
                    <a:latin typeface="Garamond" pitchFamily="18" charset="0"/>
                  </a:rPr>
                  <a:t>Countries</a:t>
                </a:r>
              </a:p>
            </c:rich>
          </c:tx>
        </c:title>
        <c:numFmt formatCode="General" sourceLinked="1"/>
        <c:majorTickMark val="none"/>
        <c:tickLblPos val="nextTo"/>
        <c:txPr>
          <a:bodyPr/>
          <a:lstStyle/>
          <a:p>
            <a:pPr>
              <a:defRPr lang="en-US" b="1">
                <a:latin typeface="Garamond" pitchFamily="18" charset="0"/>
              </a:defRPr>
            </a:pPr>
            <a:endParaRPr lang="en-US"/>
          </a:p>
        </c:txPr>
        <c:crossAx val="53398528"/>
        <c:crosses val="autoZero"/>
        <c:auto val="1"/>
        <c:lblAlgn val="ctr"/>
        <c:lblOffset val="100"/>
      </c:catAx>
      <c:valAx>
        <c:axId val="53398528"/>
        <c:scaling>
          <c:orientation val="minMax"/>
        </c:scaling>
        <c:axPos val="l"/>
        <c:majorGridlines/>
        <c:title>
          <c:tx>
            <c:rich>
              <a:bodyPr rot="-5400000" vert="horz"/>
              <a:lstStyle/>
              <a:p>
                <a:pPr>
                  <a:defRPr lang="en-US">
                    <a:latin typeface="Garamond" pitchFamily="18" charset="0"/>
                  </a:defRPr>
                </a:pPr>
                <a:r>
                  <a:rPr lang="en-US">
                    <a:latin typeface="Garamond" pitchFamily="18" charset="0"/>
                  </a:rPr>
                  <a:t>Percentage</a:t>
                </a:r>
              </a:p>
            </c:rich>
          </c:tx>
        </c:title>
        <c:numFmt formatCode="0%" sourceLinked="1"/>
        <c:majorTickMark val="none"/>
        <c:tickLblPos val="nextTo"/>
        <c:spPr>
          <a:ln w="9525">
            <a:noFill/>
          </a:ln>
        </c:spPr>
        <c:txPr>
          <a:bodyPr/>
          <a:lstStyle/>
          <a:p>
            <a:pPr>
              <a:defRPr lang="en-US" b="1">
                <a:latin typeface="Garamond" pitchFamily="18" charset="0"/>
              </a:defRPr>
            </a:pPr>
            <a:endParaRPr lang="en-US"/>
          </a:p>
        </c:txPr>
        <c:crossAx val="53396608"/>
        <c:crosses val="autoZero"/>
        <c:crossBetween val="between"/>
      </c:valAx>
      <c:spPr>
        <a:noFill/>
        <a:ln w="25400">
          <a:noFill/>
        </a:ln>
      </c:spPr>
    </c:plotArea>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9409</Words>
  <Characters>53633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FOREIGN DIRECT INVESTMENT INFLOWS IN SUB-SAHARAN AFRICA: DOES EXCHANGE RATE VOLATILITY MATTER</vt:lpstr>
    </vt:vector>
  </TitlesOfParts>
  <Company>TOSHIBA</Company>
  <LinksUpToDate>false</LinksUpToDate>
  <CharactersWithSpaces>62917</CharactersWithSpaces>
  <SharedDoc>false</SharedDoc>
  <HLinks>
    <vt:vector size="12" baseType="variant">
      <vt:variant>
        <vt:i4>1310793</vt:i4>
      </vt:variant>
      <vt:variant>
        <vt:i4>87</vt:i4>
      </vt:variant>
      <vt:variant>
        <vt:i4>0</vt:i4>
      </vt:variant>
      <vt:variant>
        <vt:i4>5</vt:i4>
      </vt:variant>
      <vt:variant>
        <vt:lpwstr>http://ideas.repec.org/s/sol/wpaper.html</vt:lpwstr>
      </vt:variant>
      <vt:variant>
        <vt:lpwstr/>
      </vt:variant>
      <vt:variant>
        <vt:i4>3801145</vt:i4>
      </vt:variant>
      <vt:variant>
        <vt:i4>84</vt:i4>
      </vt:variant>
      <vt:variant>
        <vt:i4>0</vt:i4>
      </vt:variant>
      <vt:variant>
        <vt:i4>5</vt:i4>
      </vt:variant>
      <vt:variant>
        <vt:lpwstr>http://ideas.repec.org/p/sol/wpaper/04-025.html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INFLOWS IN SUB-SAHARAN AFRICA: DOES EXCHANGE RATE VOLATILITY MATTER</dc:title>
  <dc:creator>Ogunleye</dc:creator>
  <cp:lastModifiedBy>Eric K. O'Leye</cp:lastModifiedBy>
  <cp:revision>5</cp:revision>
  <cp:lastPrinted>2008-05-11T14:50:00Z</cp:lastPrinted>
  <dcterms:created xsi:type="dcterms:W3CDTF">2011-10-19T05:35:00Z</dcterms:created>
  <dcterms:modified xsi:type="dcterms:W3CDTF">2011-10-19T07:25:00Z</dcterms:modified>
</cp:coreProperties>
</file>